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4"/>
        </w:rPr>
      </w:pPr>
    </w:p>
    <w:p>
      <w:pPr>
        <w:spacing w:before="94"/>
        <w:ind w:left="0" w:right="1628" w:firstLine="0"/>
        <w:jc w:val="righ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726013pt;margin-top:-8.188429pt;width:74.5pt;height:44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4"/>
                    <w:gridCol w:w="527"/>
                    <w:gridCol w:w="389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47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4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47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9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Дата (рiк, мiсяць, число)</w:t>
      </w:r>
    </w:p>
    <w:p>
      <w:pPr>
        <w:spacing w:after="0"/>
        <w:jc w:val="right"/>
        <w:rPr>
          <w:sz w:val="17"/>
        </w:rPr>
        <w:sectPr>
          <w:type w:val="continuous"/>
          <w:pgSz w:w="11900" w:h="16820"/>
          <w:pgMar w:top="560" w:bottom="280" w:left="720" w:right="320"/>
        </w:sectPr>
      </w:pPr>
    </w:p>
    <w:p>
      <w:pPr>
        <w:pStyle w:val="BodyText"/>
        <w:spacing w:line="208" w:lineRule="auto" w:before="57"/>
        <w:ind w:left="1372" w:hanging="1216"/>
      </w:pPr>
      <w:r>
        <w:rPr>
          <w:b w:val="0"/>
        </w:rPr>
        <w:t>Пiдприємство </w:t>
      </w:r>
      <w:r>
        <w:rPr/>
        <w:t>Комунальне підприємство Мукачівське міське бюро технічної інвентаризації та експертної оцінки</w:t>
      </w:r>
    </w:p>
    <w:p>
      <w:pPr>
        <w:spacing w:before="37"/>
        <w:ind w:left="156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за ЄДРПОУ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560" w:bottom="280" w:left="720" w:right="320"/>
          <w:cols w:num="2" w:equalWidth="0">
            <w:col w:w="7634" w:space="464"/>
            <w:col w:w="2762"/>
          </w:cols>
        </w:sectPr>
      </w:pPr>
    </w:p>
    <w:p>
      <w:pPr>
        <w:spacing w:line="240" w:lineRule="auto" w:before="0"/>
        <w:rPr>
          <w:sz w:val="3"/>
        </w:rPr>
      </w:pPr>
    </w:p>
    <w:p>
      <w:pPr>
        <w:spacing w:line="20" w:lineRule="exact"/>
        <w:ind w:left="1319" w:right="0" w:firstLine="0"/>
        <w:rPr>
          <w:sz w:val="2"/>
        </w:rPr>
      </w:pPr>
      <w:r>
        <w:rPr>
          <w:sz w:val="2"/>
        </w:rPr>
        <w:pict>
          <v:group style="width:344.25pt;height:.65pt;mso-position-horizontal-relative:char;mso-position-vertical-relative:line" coordorigin="0,0" coordsize="6885,13">
            <v:line style="position:absolute" from="0,6" to="6885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4192" w:right="5482" w:firstLine="0"/>
        <w:jc w:val="center"/>
        <w:rPr>
          <w:sz w:val="17"/>
        </w:rPr>
      </w:pPr>
      <w:r>
        <w:rPr>
          <w:sz w:val="17"/>
        </w:rPr>
        <w:t>(найменування)</w:t>
      </w:r>
    </w:p>
    <w:p>
      <w:pPr>
        <w:spacing w:line="240" w:lineRule="auto" w:before="2"/>
        <w:rPr>
          <w:sz w:val="22"/>
        </w:rPr>
      </w:pPr>
    </w:p>
    <w:p>
      <w:pPr>
        <w:pStyle w:val="Title"/>
        <w:tabs>
          <w:tab w:pos="4823" w:val="left" w:leader="none"/>
          <w:tab w:pos="6118" w:val="left" w:leader="none"/>
        </w:tabs>
        <w:spacing w:line="254" w:lineRule="auto"/>
      </w:pPr>
      <w:r>
        <w:rPr/>
        <w:t>Звіт</w:t>
      </w:r>
      <w:r>
        <w:rPr>
          <w:spacing w:val="-8"/>
        </w:rPr>
        <w:t> </w:t>
      </w:r>
      <w:r>
        <w:rPr/>
        <w:t>про</w:t>
      </w:r>
      <w:r>
        <w:rPr>
          <w:spacing w:val="-8"/>
        </w:rPr>
        <w:t> </w:t>
      </w:r>
      <w:r>
        <w:rPr/>
        <w:t>рух</w:t>
      </w:r>
      <w:r>
        <w:rPr>
          <w:spacing w:val="-8"/>
        </w:rPr>
        <w:t> </w:t>
      </w:r>
      <w:r>
        <w:rPr/>
        <w:t>грошових</w:t>
      </w:r>
      <w:r>
        <w:rPr>
          <w:spacing w:val="-8"/>
        </w:rPr>
        <w:t> </w:t>
      </w:r>
      <w:r>
        <w:rPr/>
        <w:t>коштів</w:t>
      </w:r>
      <w:r>
        <w:rPr>
          <w:spacing w:val="-8"/>
        </w:rPr>
        <w:t> </w:t>
      </w:r>
      <w:r>
        <w:rPr/>
        <w:t>(за</w:t>
      </w:r>
      <w:r>
        <w:rPr>
          <w:spacing w:val="-8"/>
        </w:rPr>
        <w:t> </w:t>
      </w:r>
      <w:r>
        <w:rPr/>
        <w:t>прямим</w:t>
      </w:r>
      <w:r>
        <w:rPr>
          <w:spacing w:val="-8"/>
        </w:rPr>
        <w:t> </w:t>
      </w:r>
      <w:r>
        <w:rPr/>
        <w:t>методом) за</w:t>
        <w:tab/>
        <w:t>Рік</w:t>
      </w:r>
      <w:r>
        <w:rPr>
          <w:spacing w:val="-3"/>
        </w:rPr>
        <w:t> </w:t>
      </w:r>
      <w:r>
        <w:rPr/>
        <w:t>2022</w:t>
        <w:tab/>
        <w:t>р.</w:t>
      </w:r>
    </w:p>
    <w:p>
      <w:pPr>
        <w:pStyle w:val="Heading1"/>
        <w:ind w:right="1438"/>
        <w:jc w:val="right"/>
      </w:pPr>
      <w:r>
        <w:rPr/>
        <w:pict>
          <v:shape style="position:absolute;margin-left:507pt;margin-top:-.597654pt;width:54.9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spacing w:before="11"/>
                    <w:ind w:left="21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1801004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Форма №3 Код за ДКУД</w:t>
      </w:r>
    </w:p>
    <w:p>
      <w:pPr>
        <w:spacing w:line="240" w:lineRule="auto" w:before="7" w:after="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720"/>
        <w:gridCol w:w="1734"/>
        <w:gridCol w:w="501"/>
        <w:gridCol w:w="1756"/>
        <w:gridCol w:w="508"/>
      </w:tblGrid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2360" w:right="2348"/>
              <w:jc w:val="center"/>
              <w:rPr>
                <w:sz w:val="21"/>
              </w:rPr>
            </w:pPr>
            <w:r>
              <w:rPr>
                <w:sz w:val="21"/>
              </w:rPr>
              <w:t>Стаття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ind w:left="343"/>
              <w:rPr>
                <w:sz w:val="21"/>
              </w:rPr>
            </w:pPr>
            <w:r>
              <w:rPr>
                <w:sz w:val="21"/>
              </w:rPr>
              <w:t>За звітний період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8" w:lineRule="exact" w:before="3"/>
              <w:ind w:left="284" w:hanging="138"/>
              <w:rPr>
                <w:sz w:val="21"/>
              </w:rPr>
            </w:pPr>
            <w:r>
              <w:rPr>
                <w:sz w:val="21"/>
              </w:rPr>
              <w:t>За аналогічний період попереднього року</w:t>
            </w:r>
          </w:p>
        </w:tc>
      </w:tr>
      <w:tr>
        <w:trPr>
          <w:trHeight w:val="212" w:hRule="atLeast"/>
        </w:trPr>
        <w:tc>
          <w:tcPr>
            <w:tcW w:w="5370" w:type="dxa"/>
          </w:tcPr>
          <w:p>
            <w:pPr>
              <w:pStyle w:val="TableParagraph"/>
              <w:spacing w:line="193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193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193" w:lineRule="exact" w:before="0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193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368"/>
              <w:rPr>
                <w:b/>
                <w:sz w:val="21"/>
              </w:rPr>
            </w:pPr>
            <w:r>
              <w:rPr>
                <w:b/>
                <w:sz w:val="21"/>
              </w:rPr>
              <w:t>І. Рух коштів у результаті операційної діяльності</w:t>
            </w:r>
          </w:p>
          <w:p>
            <w:pPr>
              <w:pStyle w:val="TableParagraph"/>
              <w:spacing w:line="241" w:lineRule="exact" w:before="22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від:</w:t>
            </w:r>
          </w:p>
          <w:p>
            <w:pPr>
              <w:pStyle w:val="TableParagraph"/>
              <w:spacing w:line="216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Реалізації продукції (товарів, робіт, послуг)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1 699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2 444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Повернення податків і зборів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у тому числі податку на додану вартість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3006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Цільового фінансування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отримання субсидій, дотацій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3011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авансів від покупців і замовників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повернення авансів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3025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боржників неустойки (штрафів, пені)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3035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операційної оренди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3040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191"/>
              <w:rPr>
                <w:sz w:val="21"/>
              </w:rPr>
            </w:pPr>
            <w:r>
              <w:rPr>
                <w:sz w:val="21"/>
              </w:rPr>
              <w:t>Надходження від отримання роялті, авторських винагород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страхових премій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фінансових установ від повернення 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3055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 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3"/>
              <w:ind w:left="24" w:right="2619"/>
              <w:rPr>
                <w:sz w:val="21"/>
              </w:rPr>
            </w:pPr>
            <w:r>
              <w:rPr>
                <w:sz w:val="21"/>
              </w:rPr>
              <w:t>Витрачання на оплату: Товарів (робіт, послуг)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66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269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6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 w:before="3"/>
              <w:ind w:left="24"/>
              <w:rPr>
                <w:sz w:val="21"/>
              </w:rPr>
            </w:pPr>
            <w:r>
              <w:rPr>
                <w:sz w:val="21"/>
              </w:rPr>
              <w:t>Праці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3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3105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218" w:lineRule="exact" w:before="8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336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8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18" w:lineRule="exact" w:before="8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537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8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Відрахувань на соціальні заходи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3110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948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272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963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320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Зобов’язань з податків і зборів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3115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948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257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963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385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оплату зобов'язань з податку на прибуток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3116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17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оплату зобов'язань з податку на додану вартість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3117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952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111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967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385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1" w:lineRule="exact" w:before="6"/>
              <w:ind w:left="24"/>
              <w:rPr>
                <w:sz w:val="20"/>
              </w:rPr>
            </w:pPr>
            <w:r>
              <w:rPr>
                <w:sz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3118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952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129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оплату авансів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3135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оплату повернення авансів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3140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оплату цільових внесків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3145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оплату зобов'язань за страховими контрактами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tabs>
                <w:tab w:pos="2082" w:val="left" w:leader="none"/>
              </w:tabs>
              <w:spacing w:line="239" w:lineRule="exact" w:before="10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tabs>
                <w:tab w:pos="2113" w:val="left" w:leader="none"/>
              </w:tabs>
              <w:spacing w:line="239" w:lineRule="exact" w:before="1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0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фінансових установ на надання 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3155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 витрачання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3190</w:t>
            </w:r>
          </w:p>
        </w:tc>
        <w:tc>
          <w:tcPr>
            <w:tcW w:w="1734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рух коштів від операційної 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-201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-30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II. Рух коштів у результаті інвестиційної діяльності</w:t>
            </w:r>
          </w:p>
          <w:p>
            <w:pPr>
              <w:pStyle w:val="TableParagraph"/>
              <w:spacing w:line="240" w:lineRule="exact" w:before="26"/>
              <w:ind w:left="24" w:right="2619"/>
              <w:rPr>
                <w:sz w:val="21"/>
              </w:rPr>
            </w:pPr>
            <w:r>
              <w:rPr>
                <w:sz w:val="21"/>
              </w:rPr>
              <w:t>Надходження від реалізації: фінансових інвестицій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70" w:type="dxa"/>
          </w:tcPr>
          <w:p>
            <w:pPr>
              <w:pStyle w:val="TableParagraph"/>
              <w:spacing w:line="216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необоротних активів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16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16" w:lineRule="exact"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16" w:lineRule="exact"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3"/>
              <w:ind w:left="24" w:right="2619"/>
              <w:rPr>
                <w:sz w:val="21"/>
              </w:rPr>
            </w:pPr>
            <w:r>
              <w:rPr>
                <w:sz w:val="21"/>
              </w:rPr>
              <w:t>Надходження від отриманих: відсотків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370" w:type="dxa"/>
          </w:tcPr>
          <w:p>
            <w:pPr>
              <w:pStyle w:val="TableParagraph"/>
              <w:spacing w:line="214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дивідендів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14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14" w:lineRule="exact"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14" w:lineRule="exact"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деривативів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погашення 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191"/>
              <w:rPr>
                <w:sz w:val="21"/>
              </w:rPr>
            </w:pPr>
            <w:r>
              <w:rPr>
                <w:sz w:val="21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 надходження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 w:line="225" w:lineRule="exact"/>
        <w:jc w:val="center"/>
        <w:rPr>
          <w:sz w:val="21"/>
        </w:rPr>
        <w:sectPr>
          <w:type w:val="continuous"/>
          <w:pgSz w:w="11900" w:h="16820"/>
          <w:pgMar w:top="560" w:bottom="280" w:left="720" w:right="3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720"/>
        <w:gridCol w:w="1663"/>
        <w:gridCol w:w="572"/>
        <w:gridCol w:w="1690"/>
        <w:gridCol w:w="576"/>
      </w:tblGrid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3"/>
              <w:ind w:left="24" w:right="2619"/>
              <w:rPr>
                <w:sz w:val="21"/>
              </w:rPr>
            </w:pPr>
            <w:r>
              <w:rPr>
                <w:sz w:val="21"/>
              </w:rPr>
              <w:t>Витрачання на придбання: фінансових інвестицій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3255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23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5370" w:type="dxa"/>
          </w:tcPr>
          <w:p>
            <w:pPr>
              <w:pStyle w:val="TableParagraph"/>
              <w:spacing w:line="231" w:lineRule="exact" w:before="3"/>
              <w:ind w:left="24"/>
              <w:rPr>
                <w:sz w:val="21"/>
              </w:rPr>
            </w:pPr>
            <w:r>
              <w:rPr>
                <w:sz w:val="21"/>
              </w:rPr>
              <w:t>необоротних активів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31" w:lineRule="exact" w:before="3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26" w:lineRule="exact" w:before="8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11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26" w:lineRule="exact" w:before="8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6" w:lineRule="exact" w:before="8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86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26" w:lineRule="exact" w:before="8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1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Виплати за деривативами</w:t>
            </w:r>
          </w:p>
        </w:tc>
        <w:tc>
          <w:tcPr>
            <w:tcW w:w="720" w:type="dxa"/>
          </w:tcPr>
          <w:p>
            <w:pPr>
              <w:pStyle w:val="TableParagraph"/>
              <w:spacing w:line="231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3270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надання 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3275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2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придбання дочірнього підприємства та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08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45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іншої господарської одиниці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3280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4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 платежі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3290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рух коштів від інвестиційної 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3295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-11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30" w:lineRule="exact"/>
              <w:ind w:left="875" w:right="863"/>
              <w:jc w:val="center"/>
              <w:rPr>
                <w:sz w:val="21"/>
              </w:rPr>
            </w:pPr>
            <w:r>
              <w:rPr>
                <w:sz w:val="21"/>
              </w:rPr>
              <w:t>-109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337"/>
              <w:rPr>
                <w:b/>
                <w:sz w:val="21"/>
              </w:rPr>
            </w:pPr>
            <w:r>
              <w:rPr>
                <w:b/>
                <w:sz w:val="21"/>
              </w:rPr>
              <w:t>III. Рух коштів у результаті фінансової діяльності</w:t>
            </w:r>
          </w:p>
          <w:p>
            <w:pPr>
              <w:pStyle w:val="TableParagraph"/>
              <w:spacing w:line="240" w:lineRule="exact" w:before="26"/>
              <w:ind w:left="24" w:right="3400"/>
              <w:rPr>
                <w:sz w:val="21"/>
              </w:rPr>
            </w:pPr>
            <w:r>
              <w:rPr>
                <w:sz w:val="21"/>
              </w:rPr>
              <w:t>Надходження від: Власного капіталу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70" w:type="dxa"/>
          </w:tcPr>
          <w:p>
            <w:pPr>
              <w:pStyle w:val="TableParagraph"/>
              <w:spacing w:line="216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Отримання 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16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16" w:lineRule="exact"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16" w:lineRule="exact" w:before="0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Надходження від продажу частки в дочірньому підприємстві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 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3340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3"/>
              <w:ind w:left="24" w:right="3400"/>
              <w:rPr>
                <w:sz w:val="21"/>
              </w:rPr>
            </w:pPr>
            <w:r>
              <w:rPr>
                <w:sz w:val="21"/>
              </w:rPr>
              <w:t>Витрачання на: Викуп власних акцій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5370" w:type="dxa"/>
          </w:tcPr>
          <w:p>
            <w:pPr>
              <w:pStyle w:val="TableParagraph"/>
              <w:spacing w:before="3"/>
              <w:ind w:left="24"/>
              <w:rPr>
                <w:sz w:val="21"/>
              </w:rPr>
            </w:pPr>
            <w:r>
              <w:rPr>
                <w:sz w:val="21"/>
              </w:rPr>
              <w:t>Погашення позик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before="3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before="3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Сплату дивідендів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3355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сплату відсотків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3360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191"/>
              <w:rPr>
                <w:sz w:val="21"/>
              </w:rPr>
            </w:pPr>
            <w:r>
              <w:rPr>
                <w:sz w:val="21"/>
              </w:rPr>
              <w:t>Витрачання на сплату заборгованості з фінансової оренди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3365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придбання частки в дочірньому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93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підприємстві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3370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4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 на виплати неконтрольованим часткам у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45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дочірніх підприємствах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3375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4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 платежі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3390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1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рух коштів від фінансової 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30" w:lineRule="exact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рух грошових коштів за звітний період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-212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30" w:lineRule="exact"/>
              <w:ind w:left="875" w:right="863"/>
              <w:jc w:val="center"/>
              <w:rPr>
                <w:sz w:val="21"/>
              </w:rPr>
            </w:pPr>
            <w:r>
              <w:rPr>
                <w:sz w:val="21"/>
              </w:rPr>
              <w:t>-139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Залишок коштів на початок року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ind w:left="875" w:right="863"/>
              <w:jc w:val="center"/>
              <w:rPr>
                <w:sz w:val="21"/>
              </w:rPr>
            </w:pPr>
            <w:r>
              <w:rPr>
                <w:sz w:val="21"/>
              </w:rPr>
              <w:t>1 002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Вплив зміни валютних курсів на залишок коштів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ind w:left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Залишок коштів на кінець року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ind w:left="875" w:right="863"/>
              <w:jc w:val="center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</w:tr>
    </w:tbl>
    <w:p>
      <w:pPr>
        <w:spacing w:line="240" w:lineRule="auto" w:before="3" w:after="0"/>
        <w:rPr>
          <w:sz w:val="22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359"/>
        <w:gridCol w:w="4789"/>
      </w:tblGrid>
      <w:tr>
        <w:trPr>
          <w:trHeight w:val="449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 w:before="0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Керiвник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2000" w:val="left" w:leader="none"/>
              </w:tabs>
              <w:spacing w:line="232" w:lineRule="exact" w:before="0"/>
              <w:ind w:left="123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789" w:type="dxa"/>
          </w:tcPr>
          <w:p>
            <w:pPr>
              <w:pStyle w:val="TableParagraph"/>
              <w:tabs>
                <w:tab w:pos="706" w:val="left" w:leader="none"/>
                <w:tab w:pos="4379" w:val="left" w:leader="none"/>
              </w:tabs>
              <w:spacing w:line="232" w:lineRule="exact" w:before="0"/>
              <w:ind w:right="48"/>
              <w:jc w:val="right"/>
              <w:rPr>
                <w:b/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Реберка Микола</w:t>
            </w:r>
            <w:r>
              <w:rPr>
                <w:b/>
                <w:spacing w:val="-37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Миколайович</w:t>
              <w:tab/>
            </w:r>
          </w:p>
        </w:tc>
      </w:tr>
      <w:tr>
        <w:trPr>
          <w:trHeight w:val="449" w:hRule="atLeast"/>
        </w:trPr>
        <w:tc>
          <w:tcPr>
            <w:tcW w:w="210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spacing w:line="221" w:lineRule="exact" w:before="1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Головний бухгалтер</w:t>
            </w:r>
          </w:p>
        </w:tc>
        <w:tc>
          <w:tcPr>
            <w:tcW w:w="235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tabs>
                <w:tab w:pos="2000" w:val="left" w:leader="none"/>
              </w:tabs>
              <w:spacing w:line="221" w:lineRule="exact" w:before="1"/>
              <w:ind w:left="123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tabs>
                <w:tab w:pos="845" w:val="left" w:leader="none"/>
                <w:tab w:pos="4379" w:val="left" w:leader="none"/>
              </w:tabs>
              <w:spacing w:line="221" w:lineRule="exact" w:before="1"/>
              <w:ind w:right="48"/>
              <w:jc w:val="right"/>
              <w:rPr>
                <w:b/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Горват Ніна</w:t>
            </w:r>
            <w:r>
              <w:rPr>
                <w:b/>
                <w:spacing w:val="-35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Володимирівна</w:t>
              <w:tab/>
            </w:r>
          </w:p>
        </w:tc>
      </w:tr>
    </w:tbl>
    <w:sectPr>
      <w:pgSz w:w="11900" w:h="16820"/>
      <w:pgMar w:top="560" w:bottom="280" w:left="7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outlineLvl w:val="1"/>
    </w:pPr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4115" w:right="2978" w:hanging="1136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217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2023-01-11T07:10:24Z</dcterms:created>
  <dcterms:modified xsi:type="dcterms:W3CDTF">2023-01-11T07:10:24Z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