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>Зразкова естрадна вокальна студія</w:t>
      </w:r>
      <w:r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  <w:t xml:space="preserve"> </w:t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</w:pPr>
      <w:r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  <w:t>Зразкова естрадна вокальна студія (керівник Олег Сватанов) працює з 1995 року. У студії окрім викладання вокалу, підбирається репертуар юним співакам, пишуться фонограми, проводиться сценічна робота над піснею, підготовка до участі в концертних номерах, участі в конкурсах. У 1998 році студія отримала звання «зразкова». Студійці займаються популяризацією української естрадної пісні серед молоді, ведуть активну роботу в напрямку відродження, збагачення національної культури, її кращих традицій. Керівник співпрацює з місцевими самодіяльними композиторами та поетами, репертуар учасників збагачується за рахунок авторських пісень.</w:t>
      </w:r>
    </w:p>
    <w:p>
      <w:pPr>
        <w:pStyle w:val="()*"/>
        <w:spacing w:before="0" w:after="0"/>
        <w:jc w:val="both"/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pPr>
      <w:r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50803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807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2022-08-30T14:14:34Z</dcterms:modified>
</cp:coreProperties>
</file>