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b/>
          <w:bCs/>
          <w:kern w:val="0"/>
          <w:sz w:val="21"/>
          <w:szCs w:val="21"/>
          <w:lang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 xml:space="preserve">Народний жіночий хор «Ліра» </w:t>
      </w:r>
      <w:r>
        <w:rPr>
          <w:rFonts w:ascii="Arial" w:hAnsi="Arial" w:eastAsia="Calibri" w:cs="Arial"/>
          <w:b/>
          <w:bCs/>
          <w:kern w:val="0"/>
          <w:sz w:val="21"/>
          <w:szCs w:val="21"/>
          <w:lang w:eastAsia="en-us" w:bidi="ar-sa"/>
        </w:rPr>
      </w:r>
    </w:p>
    <w:p>
      <w:pPr>
        <w:ind w:firstLine="567"/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bidi="ar-sa"/>
        </w:rPr>
      </w:pPr>
      <w:r>
        <w:rPr>
          <w:rFonts w:ascii="Arial" w:hAnsi="Arial" w:eastAsia="Calibri" w:cs="Arial"/>
          <w:kern w:val="0"/>
          <w:sz w:val="21"/>
          <w:szCs w:val="21"/>
          <w:lang w:bidi="ar-sa"/>
        </w:rPr>
        <w:t>Народний жіночий хор «Ліра» (керівник Віра Удварі) заснований 11 квітня 1991 року. Ініціатором створення хору була Ольга Троян. У 1996 році хор отримав звання “народний”. В репертуарі хору налічується понад 150 пісень, серед яких: українські, закарпатські, русинські, угорські, словацькі, німецькі та російські пісні. Також при народному хорі «Ліра» діє вокальне тріо «Волошки» та ансамбль «Едельвейс».</w:t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bidi="ar-sa"/>
        </w:rPr>
      </w:pPr>
      <w:r>
        <w:rPr>
          <w:rFonts w:ascii="Arial" w:hAnsi="Arial" w:eastAsia="Calibri" w:cs="Arial"/>
          <w:kern w:val="0"/>
          <w:sz w:val="21"/>
          <w:szCs w:val="21"/>
          <w:lang w:bidi="ar-sa"/>
        </w:rPr>
      </w:r>
    </w:p>
    <w:p>
      <w:pPr>
        <w:pStyle w:val="()*"/>
        <w:spacing w:before="0" w:after="0"/>
        <w:jc w:val="both"/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pPr>
      <w:r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50803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7879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2022-08-30T14:11:19Z</dcterms:modified>
</cp:coreProperties>
</file>