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C412AF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C412AF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29</w:t>
      </w:r>
      <w:r w:rsidR="00E646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липня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Присутні члени ради: </w:t>
      </w:r>
      <w:r w:rsidR="00150FE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9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квартири №1 в межах лінійних розмірів фундаментів у плані зі зміною функціонального призначення під об’єкт комерційного призначення з організацією окремого входу в межах забудови вул.Ринкова,17А (заявник Касинець П.Д.)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№17240/0/99-21 від 06.07.2021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 багатоквартирного житлового будинку по вул. Яворницького Дмитра (заявник Ганькович В.)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8387/0/99-21 від 15.07.2021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житлового будинку під медичний заклад по вул. Небесної сотні,81 (заявник Мілашовська В.О.)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(е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скізна пропозиція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гаражів під офісні приміщення по вул.Миру,7 (Гарагонич Я.) 19116/0/99-21 від 23.07.2021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1.5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Проектна пропозиція малоповерхової житлової забудови земельних ділянок по вул.Шевченка Тараса,12А-14 (заявник Білак М.В.)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3707/0/109-21 від 24.07.2021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C412AF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2 Розгляд паспортів прив’язки ТС біля об’єкта ринкової інфраструктури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2.1 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Тимчасові споруди (9 шт) для здійснення підприємницької діяльності на прилеглій території до квіткового ринку ТОВ «Ромашка ПМ» по вул Ринкова,21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18239/0/99-21 від 14.07.2021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2.2 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Тимчасові споруди (3 шт) для здійснення підприємницької діяльності на прилеглій території до квіткового ринку ТОВ «Ромашка ПМ» по вул Ринкова,21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18243/0/99-21 від 14.07.2021</w:t>
      </w:r>
    </w:p>
    <w:p w:rsidR="00C412AF" w:rsidRPr="00C412AF" w:rsidRDefault="00C412AF" w:rsidP="00C412A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2.3 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Тимчасові споруди (13 шт) для здійснення підприємницької діяльності на прилеглій території до квіткового ринку ТОВ «Ромашка ПМ» по вул Ринкова,21</w:t>
      </w:r>
      <w:r w:rsidRPr="00C412A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18241/0/99-21 від 14.07.2021</w:t>
      </w:r>
    </w:p>
    <w:p w:rsidR="00E646C5" w:rsidRDefault="00C412AF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lastRenderedPageBreak/>
        <w:t>3</w:t>
      </w:r>
      <w:r w:rsidR="00E646C5"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Проекти благоустрою</w:t>
      </w:r>
    </w:p>
    <w:p w:rsidR="00C412AF" w:rsidRPr="008C1F0D" w:rsidRDefault="008C1F0D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Проект благоустрою прилеглої території до адміністративно-складської будівлі по вул.Крилова Івана,101 (заявник ТзОВ «Пауер Белт»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17936/0899-21 від 12.07.2021</w:t>
      </w:r>
    </w:p>
    <w:p w:rsidR="00E646C5" w:rsidRPr="00E646C5" w:rsidRDefault="008C1F0D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val="ru-RU" w:eastAsia="zh-CN" w:bidi="hi-IN"/>
        </w:rPr>
        <w:t>4</w:t>
      </w:r>
      <w:r w:rsidR="00E646C5"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Будівельні паспорта</w:t>
      </w:r>
      <w:r w:rsidR="00E646C5"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8C1F0D" w:rsidRDefault="008C1F0D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4.1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 житлового будинку по вул.Університетська,7Ж (заявник Чорій В.В.)</w:t>
      </w:r>
    </w:p>
    <w:p w:rsidR="008C1F0D" w:rsidRPr="008C1F0D" w:rsidRDefault="008C1F0D" w:rsidP="008C1F0D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5</w:t>
      </w: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Паспорт опорядження фасаду</w:t>
      </w: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8C1F0D" w:rsidRPr="008C1F0D" w:rsidRDefault="008C1F0D" w:rsidP="008C1F0D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5.1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Житлового будинку по вул.Університетська,11А (заявник Кройтор В.Д)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3474/0/109-21 від 12.07.2021</w:t>
      </w:r>
    </w:p>
    <w:p w:rsidR="008C1F0D" w:rsidRPr="008C1F0D" w:rsidRDefault="008C1F0D" w:rsidP="008C1F0D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5.2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квартири №3 під офісні приміщення з надбудовою квартири по вул.Зріні Ілони,16 (заявник Басараб Н.С.)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3724/0/109-21 від 26.07.2021</w:t>
      </w:r>
    </w:p>
    <w:p w:rsidR="008C1F0D" w:rsidRPr="008C1F0D" w:rsidRDefault="008C1F0D" w:rsidP="008C1F0D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6</w:t>
      </w: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 xml:space="preserve">Вивіски, рекламні конструкції </w:t>
      </w:r>
      <w:r w:rsidRPr="008C1F0D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8C1F0D" w:rsidRDefault="008C1F0D" w:rsidP="008C1F0D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6.1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Встановлення рекламної конструкції (стели) на прилеглій території до торгівельного об’єкту по вул.Масарика Томаша,54Ю (заяник Бані І.)</w:t>
      </w:r>
      <w:r w:rsidRPr="008C1F0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№17216/0/99-21</w:t>
      </w:r>
    </w:p>
    <w:p w:rsidR="00927CA4" w:rsidRPr="00927CA4" w:rsidRDefault="00927CA4" w:rsidP="008C1F0D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927CA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7</w:t>
      </w:r>
      <w:r w:rsidRPr="00927CA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Дизайн-код вулиці Духновича Олександра (концепція)</w:t>
      </w:r>
    </w:p>
    <w:p w:rsidR="00B13265" w:rsidRDefault="00B13265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Я.Б, яка оголосила порядок денний сьогоднішнього засідання містобудівної ради та повідомила про подані заяви членів архітектурно-містобудівної ради про можливий конфлікт інтересів та відмову від голосування за питаннями порядку денного: Піркл С.В. по п.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1,3; </w:t>
      </w:r>
      <w:r w:rsid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2.1-2,3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</w:t>
      </w:r>
      <w:r w:rsid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 І.І.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 w:rsid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1.4, 7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e-mail: секретаря архітектурно-містобудівної ради  yanamaydanevich@gmail.com зауваження та рекомендації не надходили.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AB1F24" w:rsidRPr="00BE1181" w:rsidRDefault="0059775A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 представила на розгляд проектну пропозицію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927CA4" w:rsidRP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квартири №1 в межах лінійних розмірів фундаментів у плані зі зміною функціонального призначення під об’єкт комерційного призначення з організацією окремого входу в межах забудови вул.Ринкова,17А (заявник Касинець П.Д.)</w:t>
      </w:r>
      <w:r w:rsid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927CA4" w:rsidRPr="00927CA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Ескізн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намір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виносяться на розгляд повторно після доопрацювання</w:t>
      </w:r>
      <w:r w:rsidR="00DB28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паспорту опорядження фасаду.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Проектна пропозиція 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узгоджен</w:t>
      </w:r>
      <w:r w:rsidR="00DB28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 власником суміжної квартири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організація головного входу з </w:t>
      </w:r>
      <w:r w:rsidR="00DB28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вул.Ринкова.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007109" w:rsidRDefault="00007109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DB28B5" w:rsidRDefault="00007109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Рекомендовано в</w:t>
      </w:r>
      <w:r w:rsidR="00BE1181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ідділу архітектури та містобудування надати містобудівні умови та обмеження для проектування об'єкту </w:t>
      </w:r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</w:t>
      </w:r>
      <w:r w:rsidR="00DB28B5" w:rsidRPr="00DB28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квартири №1 в межах </w:t>
      </w:r>
      <w:r w:rsidR="00DB28B5" w:rsidRPr="00DB28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лінійних розмірів фундаментів у плані зі зміною функціонального призначення під об’єкт комерційного призначення з організацією окремого входу в межах забудови вул.Ринкова,17А</w:t>
      </w:r>
    </w:p>
    <w:p w:rsidR="0033054F" w:rsidRPr="00BE1181" w:rsidRDefault="0033054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1.2. СЛУХАЛИ:</w:t>
      </w:r>
    </w:p>
    <w:p w:rsidR="008C3837" w:rsidRDefault="0033054F" w:rsidP="00D348F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 представила на розгляд </w:t>
      </w:r>
      <w:r w:rsid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концепцію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</w:t>
      </w:r>
      <w:r w:rsidR="0006354E" w:rsidRP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удівництв</w:t>
      </w:r>
      <w:r w:rsid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 </w:t>
      </w:r>
      <w:r w:rsidR="0006354E" w:rsidRP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багатоквартирного житлового будинку по вул. Яворницького Дмитра</w:t>
      </w:r>
      <w:r w:rsid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06354E" w:rsidRPr="0006354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Ескізні наміри </w:t>
      </w:r>
      <w:r w:rsidR="00F450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передбачають забудову земельних ділянок кадастровими номерами 2110400000:01:003:0918 та 2110400000:003:0920 різного цільового призначення. </w:t>
      </w:r>
    </w:p>
    <w:p w:rsidR="00007109" w:rsidRDefault="00007109" w:rsidP="00D348F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Відповідно статті 29 ЗУ «Про регулювання містобудівної діяльності» ф</w:t>
      </w:r>
      <w:r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ізична або юридична особа, яка має намір щодо забудови земельної ділянки, що перебуває у власності або користуванні такої особи, повинна одержати містобудівні умови та обмеження для проектування об’єкта будівництва.</w:t>
      </w:r>
    </w:p>
    <w:p w:rsidR="00007109" w:rsidRDefault="000071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0" w:name="_Hlk80797107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D348F3" w:rsidRDefault="000071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Проектна пропозиція схвалена. Рекомендовано заявнику привести заяву у відповідність до вимог ст.29 ЗУ «Про регулювання містобудівної діяльності та звернутися в ЦНАП для отримання містобудівних умов і обмежень на забудову земельних ділянок відповідного цільового призначе</w:t>
      </w:r>
      <w:r w:rsid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ня.</w:t>
      </w:r>
    </w:p>
    <w:bookmarkEnd w:id="0"/>
    <w:p w:rsidR="00F90000" w:rsidRPr="00BE1181" w:rsidRDefault="008C3837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9000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 СЛУХАЛИ:</w:t>
      </w:r>
    </w:p>
    <w:p w:rsidR="00007109" w:rsidRDefault="00F90000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 представила на розгляд проектну пропозицію </w:t>
      </w:r>
      <w:r w:rsid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007109"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ї </w:t>
      </w:r>
      <w:r w:rsidR="00007109"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житлового будинку під медичний заклад по вул. Небесної сотні,81</w:t>
      </w:r>
      <w:r w:rsid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Житловий будинок розташований в кварталі сформованої багатоповерхової житлової та громадської забудови.</w:t>
      </w:r>
    </w:p>
    <w:p w:rsidR="00007109" w:rsidRPr="00007109" w:rsidRDefault="00007109" w:rsidP="000071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Відповідно статті 29 ЗУ «Про регулювання містобудівної діяльності» фізична або юридична особа, яка має намір щодо забудови земельної ділянки, що перебуває у власності або користуванні такої особи, повинна одержати містобудівні умови та обмеження для проектування об’єкта будівництва.</w:t>
      </w:r>
    </w:p>
    <w:p w:rsidR="00007109" w:rsidRPr="00007109" w:rsidRDefault="00007109" w:rsidP="000071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" w:name="_Hlk80795995"/>
      <w:r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п.1.3</w:t>
      </w:r>
      <w:r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25217B" w:rsidRDefault="000071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071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Проектна пропозиція схвалена. Рекомендовано заявнику привести заяву у відповідність до вимог ст.29 ЗУ «Про регулювання містобудівної діяльності та звернутися в ЦНАП для отримання містобудівних умов і обмежень на забудову </w:t>
      </w:r>
    </w:p>
    <w:bookmarkEnd w:id="1"/>
    <w:p w:rsidR="0025217B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И:</w:t>
      </w:r>
    </w:p>
    <w:p w:rsidR="00EB1599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 представила на розгляд проектну пропозицію </w:t>
      </w:r>
      <w:r w:rsid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</w:t>
      </w:r>
      <w:r w:rsidR="00EB1599"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гаражів під офісні приміщення по вул.Миру,7</w:t>
      </w:r>
      <w:r w:rsid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EB1599"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Ескізні наміри розроблені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="00EB1599"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ідповідно затвердженого детального плану території по вул.Миру,7</w:t>
      </w:r>
    </w:p>
    <w:p w:rsidR="00EB1599" w:rsidRPr="00EB1599" w:rsidRDefault="00EB1599" w:rsidP="00EB159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2" w:name="_Hlk75959822"/>
      <w:r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п.1.4</w:t>
      </w:r>
      <w:r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EB1599" w:rsidRDefault="00EB1599" w:rsidP="00D2456A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Проектна пропозиція схвалена. </w:t>
      </w:r>
      <w:r w:rsidR="00F63AD6"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надати містобудівні умови та обмеження для проектування </w:t>
      </w:r>
      <w:bookmarkStart w:id="3" w:name="_Hlk75960393"/>
      <w:bookmarkEnd w:id="2"/>
      <w:r w:rsidRPr="00EB159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реконструкції гаражів під офісні приміщення по вул.Миру,7.</w:t>
      </w:r>
    </w:p>
    <w:p w:rsidR="00D2456A" w:rsidRDefault="00D2456A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</w:t>
      </w:r>
      <w:bookmarkEnd w:id="3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67719C" w:rsidRPr="0067719C" w:rsidRDefault="00D2456A" w:rsidP="0067719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Я., яка представила на розгляд присутніх </w:t>
      </w:r>
      <w:r w:rsid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концепцію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7719C"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малоповерхової житлової забудови земельних ділянок по вул.Шевченка Тараса,12А-14</w:t>
      </w:r>
      <w:r w:rsid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67719C" w:rsidRPr="0067719C">
        <w:t xml:space="preserve"> </w:t>
      </w:r>
      <w:r w:rsidR="0067719C"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Ескізні наміри відкориговані з урахуванням рекомендацій та пропозицій архітектурно-містобудівної ради (Протокол №4 від 24.03.2021 року) та приведені у відповідність до ДБН Б.2.2-12:2019 «Планування і забудова територій. Розділ «Сельбищні території», а саме п. 6.1.31 «Зони садибної забудови мають формуватися за принципами мікрорайонування окремими чи зблокованими житловими будинками з присадибними ділянками. </w:t>
      </w:r>
    </w:p>
    <w:p w:rsidR="00D2456A" w:rsidRDefault="0067719C" w:rsidP="0067719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Забудова присадибних земельних ділянок здійснюється на підставі будівельного паспорта забудови земельної ділянки (далі - будівельний паспорт).</w:t>
      </w:r>
    </w:p>
    <w:p w:rsidR="0067719C" w:rsidRDefault="0067719C" w:rsidP="0067719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7719C" w:rsidRPr="0067719C" w:rsidRDefault="0067719C" w:rsidP="0067719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п.1.5</w:t>
      </w:r>
      <w:r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D2456A" w:rsidRPr="00D2456A" w:rsidRDefault="0067719C" w:rsidP="0067719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Проектна пропозиція схвалена. Рекомендовано заявнику привести заяву у відповідність до вимог ст.2</w:t>
      </w:r>
      <w:r w:rsid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67719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ЗУ «Про регулювання містобудівної діяльності та звернутися в ЦНАП або Єдиний державний портал адміністративних послуг для отримання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будівельних паспортів на забудову земельних ділянок.</w:t>
      </w:r>
    </w:p>
    <w:p w:rsidR="003F1E09" w:rsidRDefault="003F1E09" w:rsidP="003F1E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F1E09" w:rsidRPr="003F1E09" w:rsidRDefault="00772FD2" w:rsidP="003F1E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="003F1E09" w:rsidRP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-2.3</w:t>
      </w:r>
      <w:r w:rsidR="003F1E09" w:rsidRP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3F1E09" w:rsidRDefault="00772FD2" w:rsidP="003F1E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 С.В.</w:t>
      </w:r>
      <w:r w:rsidR="003F1E09" w:rsidRP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представила на розгляд звернення 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ТОВ «Ромашка ПМ» </w:t>
      </w:r>
      <w:r w:rsidR="003F1E09" w:rsidRPr="003F1E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надання паспортів прив’язки т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имчасов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споруд для здійснення підприємницької діяльності на прилеглій території до квіткового ринку ТОВ «Ромашка ПМ» по вул Ринкова,21</w:t>
      </w:r>
      <w:r w:rsidRPr="00772FD2"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ідповідно затвердженої концепції благоустрою території, прилеглої до квіткового ринку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772FD2" w:rsidRPr="00772FD2" w:rsidRDefault="00772FD2" w:rsidP="00772FD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2.1-2.3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772FD2" w:rsidRDefault="00772FD2" w:rsidP="003F1E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Проектна пропозиція схвалена. Відділу архітектури та містобудування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оформити 25 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паспортів прив’язки тимчасових споруд для здійснення підприємницької діяльності на прилеглій території до квіткового ринку ТОВ «Ромашка ПМ» по вул Ринкова,21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 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відповідно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сті до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затвердженої концепції благоустрою території, прилеглої до квіткового ринку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772FD2" w:rsidRPr="00772FD2" w:rsidRDefault="00772FD2" w:rsidP="00772FD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772FD2" w:rsidRDefault="00772FD2" w:rsidP="00772FD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 С.В. представила на розгляд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</w:t>
      </w:r>
      <w:r w:rsidRPr="00772FD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роект благоустрою прилеглої території до адміністративно-складської будівлі по вул.Крилова Івана,101 (заявник ТзОВ «Пауер Белт»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Ескізними намірами визначено матеріал </w:t>
      </w:r>
      <w:r w:rsidR="00A65686"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мощення бруківки, </w:t>
      </w:r>
      <w:r w:rsidR="00A65686"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влаштування бордюрів та поребриків, </w:t>
      </w:r>
      <w:r w:rsid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заміна </w:t>
      </w:r>
      <w:r w:rsidR="00A65686"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старого покриття на нове, висадка зелених насаджень та інші роботи пов’язані з благоустроєм території</w:t>
      </w:r>
      <w:r w:rsid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A65686" w:rsidRPr="00A65686" w:rsidRDefault="00A65686" w:rsidP="00A6568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 по п. 3:</w:t>
      </w:r>
    </w:p>
    <w:p w:rsidR="00772FD2" w:rsidRDefault="00A65686" w:rsidP="00A6568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Проектна пропозиція схвалена. Відділу архітектури та містобудування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винести на розгляд чергового засідання виконкому проект рішення про  п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огод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ження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проект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благоустрою  території міста Мукачева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прилеглої до території адміністративно-складської будівлі по вул.Крилова Івана,101-В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A65686" w:rsidRPr="00A65686" w:rsidRDefault="00A65686" w:rsidP="00A6568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 СЛУХАЛИ:</w:t>
      </w:r>
    </w:p>
    <w:p w:rsidR="00A65686" w:rsidRDefault="00A65686" w:rsidP="00A6568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Майданевич Я. представила на розгляд 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удівництв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Pr="00A656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житлового будинку по вул.Університетська,7Ж (заявник Чорій В.В.) Ескізні наміри виносяться на розгляд повторно після доопрацювання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Заявником надані рішення виконкому про присвоєння поштової адреси та організацію окремого заїзду на вищезазначену земельну ділянку гр.Анікеєву П. (попередн</w:t>
      </w:r>
      <w:r w:rsid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ьому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власник</w:t>
      </w:r>
      <w:r w:rsid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07F4A" w:rsidRPr="00507F4A" w:rsidRDefault="00507F4A" w:rsidP="00507F4A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ВИСНОВКИ по п.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4.1</w:t>
      </w:r>
      <w:r w:rsidRP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3F1E09" w:rsidRDefault="00507F4A" w:rsidP="00507F4A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07F4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Проектна пропозиція схвалена. Відділу архітектури та містобудування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надати будівельний паспорт на забудову </w:t>
      </w:r>
      <w:r w:rsidR="00FB69A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земельної ділянки </w:t>
      </w:r>
      <w:r w:rsidR="00FB69A7" w:rsidRPr="00FB69A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вул.Університетська,7Ж</w:t>
      </w:r>
      <w:r w:rsidR="00FB69A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FB69A7" w:rsidRPr="00FB69A7" w:rsidRDefault="00FB69A7" w:rsidP="00FB69A7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5</w:t>
      </w:r>
      <w:r w:rsid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.1</w:t>
      </w: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СЛУХАЛИ:</w:t>
      </w:r>
    </w:p>
    <w:p w:rsidR="00FB69A7" w:rsidRDefault="00FB69A7" w:rsidP="00FB69A7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Майданевич Я. представила на розгляд 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опорядження фасаду ж</w:t>
      </w: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итлового будинку по вул.Університетська,11А (заявник Кройтор В.Д)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</w:t>
      </w:r>
    </w:p>
    <w:p w:rsidR="00FB69A7" w:rsidRPr="00FB69A7" w:rsidRDefault="00FB69A7" w:rsidP="00FB69A7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ВИСНОВКИ по п.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5</w:t>
      </w: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.1:</w:t>
      </w:r>
    </w:p>
    <w:p w:rsidR="00FB69A7" w:rsidRDefault="00FB69A7" w:rsidP="00FB69A7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FB69A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Проектна пропозиція схвалена. Відділу архітектури та містобудування надати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паспорт опорядження фасаду</w:t>
      </w:r>
      <w:r w:rsid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</w:t>
      </w:r>
      <w:r w:rsidR="00DF0090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</w:t>
      </w:r>
    </w:p>
    <w:p w:rsidR="00734253" w:rsidRP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5.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2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ab/>
        <w:t>СЛУХАЛИ:</w:t>
      </w:r>
    </w:p>
    <w:p w:rsid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Майданевич Я. представила на розгляд проектну пропозицію  опорядження фасаду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будівлі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по вул.Зріні Ілони,16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в додаток до містобудівних умов і обмежень по об'єкту  «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Реконструкція квартири №3 під офісні приміщення з надбудовою квартири по вул.Зріні Ілони,16 (заявник Басараб Н.С.)</w:t>
      </w:r>
    </w:p>
    <w:p w:rsidR="00734253" w:rsidRP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ВИСНОВКИ по п. 5.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2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:</w:t>
      </w:r>
    </w:p>
    <w:p w:rsid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Проектна пропозиція схвалена. Відділу архітектури та містобудування надати паспорт опорядження фасаду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будівлі в цілому з урахуванням матеріалу та кольористики фасаду (д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екоративна штукатурка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("Caparol" Umbrien 15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) вже існуючих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нежитлових приміщень та квартири в будівлі 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по вул.Зріні Ілони,16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</w:t>
      </w:r>
    </w:p>
    <w:p w:rsidR="00734253" w:rsidRDefault="00734253" w:rsidP="00FB69A7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6. СЛУХАЛИ:</w:t>
      </w:r>
    </w:p>
    <w:p w:rsid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lastRenderedPageBreak/>
        <w:t>Майданевич Я. представила на розгляд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звернення гр.Бані І., щодо в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становлення рекламної конструкції (стели) на прилеглій території до торгівельного об’єкту по вул.Масарика Томаша,54Ю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</w:t>
      </w:r>
    </w:p>
    <w:p w:rsidR="00734253" w:rsidRPr="00734253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ВИСНОВКИ по п. 5.2:</w:t>
      </w:r>
    </w:p>
    <w:p w:rsidR="00734253" w:rsidRPr="00FB69A7" w:rsidRDefault="00734253" w:rsidP="0073425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</w:pP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Проектна пропозиція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відхилена на доопрацювання. Доручит</w:t>
      </w:r>
      <w:r w:rsidR="0062099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и працівникам УМГ провести виїзне комісійне обстеження рекламних засобів, розміщених по вул. Томаша Масарика</w:t>
      </w:r>
      <w:r w:rsidRPr="00734253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>.</w:t>
      </w:r>
      <w:r w:rsidR="00620997">
        <w:rPr>
          <w:rFonts w:ascii="Times New Roman" w:eastAsia="Times New Roman" w:hAnsi="Times New Roman" w:cs="Lohit Hindi"/>
          <w:kern w:val="1"/>
          <w:sz w:val="28"/>
          <w:szCs w:val="28"/>
          <w:lang w:val="ru-RU" w:eastAsia="zh-CN" w:bidi="hi-IN"/>
        </w:rPr>
        <w:t xml:space="preserve"> За результатами обстеження повідомити заявника про доцільність розміщення рекламної конструкції.</w:t>
      </w:r>
    </w:p>
    <w:p w:rsidR="000A4CB5" w:rsidRPr="000A4CB5" w:rsidRDefault="003F1E09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A4CB5" w:rsidRP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0A4CB5" w:rsidRDefault="000A4CB5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 І. представив на розгляд концепцію розроблення дизайн-коду вулиці Духновича Олександра від перехрестя з вул.Стуса Василя до з/д переїзду по вул.Підгорянська.</w:t>
      </w:r>
      <w:r w:rsidRPr="000A4CB5">
        <w:t xml:space="preserve"> </w:t>
      </w:r>
      <w:r w:rsidRP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Дизайн-код – це комплексний підхід до візуального впорядкування та формування естетики зовнішнього вигляду міста та є збіркою правил і рекомендацій, які застосовуються при розміщенні та зміні елементів вивісок на фасадах, за допомогою яких формується стилістично єдине, комфорте і безпечне міське середовище.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Поведено аналіз існуючого стану ( в доповіді зазначені проблеми та  шляхи вирішення).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Проектною пропозицією визначено організація руху ( 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зони пішохідних переходів,</w:t>
      </w:r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тактильні зони,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розміщення велодоріжок, місця паркування вздовж вулиці) покриття (матеріал мощення),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озеленення (місця висадки дерев, вид пристовбурових решіток), елементи обладнання ( типи огороджень, велопарковок).</w:t>
      </w:r>
      <w:r w:rsidR="00620997" w:rsidRPr="00620997">
        <w:t xml:space="preserve"> </w:t>
      </w:r>
      <w:r w:rsidR="00620997" w:rsidRPr="00276C7D">
        <w:rPr>
          <w:rFonts w:ascii="Times New Roman" w:hAnsi="Times New Roman" w:cs="Times New Roman"/>
          <w:sz w:val="28"/>
          <w:szCs w:val="28"/>
        </w:rPr>
        <w:t>Проект</w:t>
      </w:r>
      <w:r w:rsidR="00620997">
        <w:t xml:space="preserve"> </w:t>
      </w:r>
      <w:r w:rsidR="00276C7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</w:t>
      </w:r>
      <w:r w:rsidR="00620997" w:rsidRPr="006209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оопрац</w:t>
      </w:r>
      <w:r w:rsidR="00276C7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ьовано</w:t>
      </w:r>
      <w:r w:rsidR="00620997" w:rsidRPr="006209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тип</w:t>
      </w:r>
      <w:r w:rsidR="00276C7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ами </w:t>
      </w:r>
      <w:r w:rsidR="00620997" w:rsidRPr="006209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світильників, сміттєзбірників, лавиць, зазнач</w:t>
      </w:r>
      <w:r w:rsidR="00276C7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ено</w:t>
      </w:r>
      <w:r w:rsidR="00620997" w:rsidRPr="006209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єдину висоту огорожі. Проектом передбач</w:t>
      </w:r>
      <w:r w:rsidR="00276C7D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ено</w:t>
      </w:r>
      <w:r w:rsidR="00620997" w:rsidRPr="006209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протипожежні гідранти на зеленій зоні кожні 500м.</w:t>
      </w:r>
    </w:p>
    <w:p w:rsidR="00365E5F" w:rsidRDefault="00276C7D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</w:t>
      </w:r>
      <w:r w:rsidR="00365E5F" w:rsidRP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365E5F" w:rsidRDefault="00365E5F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взяти за основу. Затверджений дизайн-код опублікувати на офіційному сайті Мукачівської міської ради</w:t>
      </w:r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в соцмережах та місцевих ЗМІ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для дотримання проектантами та забудовниками</w:t>
      </w:r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при розроблені проєктних пропозицій та вихідних даних для проектування.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D37D8" w:rsidRDefault="00276C7D" w:rsidP="005D37D8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Балога А.В. доручив секретарю архітектурно-містобудівної ради надати звіт про відвідування членами ради засідань у 2021 році.</w:t>
      </w:r>
    </w:p>
    <w:p w:rsidR="00993501" w:rsidRDefault="0099350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76C7D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Заступник г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архітектурно-містобудівної ради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В.БУДНІК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276C7D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Д</w:t>
      </w:r>
      <w:r w:rsidR="003E68B4"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одаток 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Протоколу АМБР №1</w:t>
      </w:r>
      <w:r w:rsidR="00276C7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від </w:t>
      </w:r>
      <w:r w:rsidR="00F4663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07.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2"/>
          <w:sz w:val="24"/>
          <w:szCs w:val="24"/>
          <w:lang w:eastAsia="zh-CN" w:bidi="hi-IN"/>
        </w:rPr>
      </w:pPr>
      <w:r w:rsidRPr="003E68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Склад архітектурно-містобудівної ради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3E68B4" w:rsidRPr="003E68B4" w:rsidTr="00F46639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Заступник голови ради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Буднік  Володимир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начальника управління міського господарства Мукачівської міської ради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F46639">
        <w:trPr>
          <w:trHeight w:val="455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Секретар ради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Майданевич Яна Борисівна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3E68B4" w:rsidRPr="003E68B4" w:rsidTr="00F46639">
        <w:trPr>
          <w:trHeight w:val="5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Члени ради:</w:t>
            </w:r>
          </w:p>
        </w:tc>
      </w:tr>
      <w:tr w:rsidR="00E557C7" w:rsidRPr="003E68B4" w:rsidTr="00F46639">
        <w:tc>
          <w:tcPr>
            <w:tcW w:w="2959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Балога Андрій Вікторович</w:t>
            </w:r>
          </w:p>
        </w:tc>
        <w:tc>
          <w:tcPr>
            <w:tcW w:w="1004" w:type="dxa"/>
            <w:shd w:val="clear" w:color="auto" w:fill="auto"/>
          </w:tcPr>
          <w:p w:rsidR="00E557C7" w:rsidRPr="003E68B4" w:rsidRDefault="00E557C7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міський голова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Блінов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начальник управління міського господарства 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Мукачівської  міської ради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150FE9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150FE9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50FE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Ільтьо Едуард Михайлович</w:t>
            </w:r>
          </w:p>
        </w:tc>
        <w:tc>
          <w:tcPr>
            <w:tcW w:w="1004" w:type="dxa"/>
            <w:shd w:val="clear" w:color="auto" w:fill="auto"/>
          </w:tcPr>
          <w:p w:rsidR="003E68B4" w:rsidRPr="00150FE9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150FE9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150FE9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50FE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Малешко Юрій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підприємець, член виконавчого комітету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Піркл Світлана Василівна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інженер-будівельник, директор ПП «Архбудконсул» (за згодою)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Федів Ростислав Євгенович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перший заступник міського голови</w:t>
            </w:r>
            <w:r w:rsidRPr="003E68B4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 питань діяльності виконавчих органів Мукачівської міської ради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Черепаня Іван Іванович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директор ММКП «Мукачевопроект» (за згодою)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ЗАПРОШЕНІ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Лендєл Олександр Васильович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керуючий справами виконкому Мукачівської міської ради</w:t>
            </w:r>
          </w:p>
        </w:tc>
      </w:tr>
      <w:tr w:rsidR="003E68B4" w:rsidRPr="003E68B4" w:rsidTr="00F46639">
        <w:tc>
          <w:tcPr>
            <w:tcW w:w="2959" w:type="dxa"/>
            <w:shd w:val="clear" w:color="auto" w:fill="auto"/>
          </w:tcPr>
          <w:p w:rsidR="003E68B4" w:rsidRDefault="00150FE9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Андялоші-Кришинець К.О.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150FE9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150FE9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управління освіти, культури, молоді та спорту Мукачівської міської ради</w:t>
            </w: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BE1181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sectPr w:rsidR="003E68B4" w:rsidRPr="00BE118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29A" w:rsidRDefault="00DE229A" w:rsidP="00653DF9">
      <w:pPr>
        <w:spacing w:after="0" w:line="240" w:lineRule="auto"/>
      </w:pPr>
      <w:r>
        <w:separator/>
      </w:r>
    </w:p>
  </w:endnote>
  <w:endnote w:type="continuationSeparator" w:id="0">
    <w:p w:rsidR="00DE229A" w:rsidRDefault="00DE229A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EndPr/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29A" w:rsidRDefault="00DE229A" w:rsidP="00653DF9">
      <w:pPr>
        <w:spacing w:after="0" w:line="240" w:lineRule="auto"/>
      </w:pPr>
      <w:r>
        <w:separator/>
      </w:r>
    </w:p>
  </w:footnote>
  <w:footnote w:type="continuationSeparator" w:id="0">
    <w:p w:rsidR="00DE229A" w:rsidRDefault="00DE229A" w:rsidP="006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07109"/>
    <w:rsid w:val="0006354E"/>
    <w:rsid w:val="000A4CB5"/>
    <w:rsid w:val="000E4854"/>
    <w:rsid w:val="00150FE9"/>
    <w:rsid w:val="001745C3"/>
    <w:rsid w:val="001F035D"/>
    <w:rsid w:val="0025217B"/>
    <w:rsid w:val="00276C7D"/>
    <w:rsid w:val="002A2D62"/>
    <w:rsid w:val="002E5030"/>
    <w:rsid w:val="0033017F"/>
    <w:rsid w:val="0033054F"/>
    <w:rsid w:val="003349E6"/>
    <w:rsid w:val="003641FA"/>
    <w:rsid w:val="00365E5F"/>
    <w:rsid w:val="00386CA3"/>
    <w:rsid w:val="003C0B6A"/>
    <w:rsid w:val="003C1F63"/>
    <w:rsid w:val="003D3362"/>
    <w:rsid w:val="003E68B4"/>
    <w:rsid w:val="003F1E09"/>
    <w:rsid w:val="00450FF1"/>
    <w:rsid w:val="004B02DD"/>
    <w:rsid w:val="004E0177"/>
    <w:rsid w:val="00507ACB"/>
    <w:rsid w:val="00507F4A"/>
    <w:rsid w:val="0059775A"/>
    <w:rsid w:val="005D029F"/>
    <w:rsid w:val="005D37D8"/>
    <w:rsid w:val="005E65B7"/>
    <w:rsid w:val="00620997"/>
    <w:rsid w:val="00653DF9"/>
    <w:rsid w:val="00671D44"/>
    <w:rsid w:val="0067719C"/>
    <w:rsid w:val="006A04BF"/>
    <w:rsid w:val="006C5C36"/>
    <w:rsid w:val="006D32D4"/>
    <w:rsid w:val="007217B1"/>
    <w:rsid w:val="00734253"/>
    <w:rsid w:val="00772FD2"/>
    <w:rsid w:val="007A3572"/>
    <w:rsid w:val="007E3509"/>
    <w:rsid w:val="007E52E9"/>
    <w:rsid w:val="007F2A16"/>
    <w:rsid w:val="008C1F0D"/>
    <w:rsid w:val="008C3837"/>
    <w:rsid w:val="00927CA4"/>
    <w:rsid w:val="009521FD"/>
    <w:rsid w:val="009729A5"/>
    <w:rsid w:val="00992846"/>
    <w:rsid w:val="00993501"/>
    <w:rsid w:val="00A65686"/>
    <w:rsid w:val="00AA4F50"/>
    <w:rsid w:val="00AB1F24"/>
    <w:rsid w:val="00AC1B2F"/>
    <w:rsid w:val="00AE6B53"/>
    <w:rsid w:val="00B13265"/>
    <w:rsid w:val="00B23E7E"/>
    <w:rsid w:val="00B708B2"/>
    <w:rsid w:val="00BA752C"/>
    <w:rsid w:val="00BC774E"/>
    <w:rsid w:val="00BE1181"/>
    <w:rsid w:val="00C24714"/>
    <w:rsid w:val="00C412AF"/>
    <w:rsid w:val="00C8461B"/>
    <w:rsid w:val="00C927E0"/>
    <w:rsid w:val="00CD2C71"/>
    <w:rsid w:val="00D2456A"/>
    <w:rsid w:val="00D348F3"/>
    <w:rsid w:val="00D44CA2"/>
    <w:rsid w:val="00DB28B5"/>
    <w:rsid w:val="00DE229A"/>
    <w:rsid w:val="00DF0090"/>
    <w:rsid w:val="00E557C7"/>
    <w:rsid w:val="00E646C5"/>
    <w:rsid w:val="00E93513"/>
    <w:rsid w:val="00EA7522"/>
    <w:rsid w:val="00EB1599"/>
    <w:rsid w:val="00EC4EDC"/>
    <w:rsid w:val="00F1308B"/>
    <w:rsid w:val="00F45013"/>
    <w:rsid w:val="00F46639"/>
    <w:rsid w:val="00F548DA"/>
    <w:rsid w:val="00F63AD6"/>
    <w:rsid w:val="00F63F55"/>
    <w:rsid w:val="00F77EA2"/>
    <w:rsid w:val="00F90000"/>
    <w:rsid w:val="00FB69A7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FEE7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  <w:style w:type="paragraph" w:customStyle="1" w:styleId="ac">
    <w:name w:val="Вміст таблиці"/>
    <w:basedOn w:val="a"/>
    <w:rsid w:val="00C412AF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7</cp:revision>
  <cp:lastPrinted>2021-07-28T14:34:00Z</cp:lastPrinted>
  <dcterms:created xsi:type="dcterms:W3CDTF">2021-08-17T07:33:00Z</dcterms:created>
  <dcterms:modified xsi:type="dcterms:W3CDTF">2021-08-26T11:38:00Z</dcterms:modified>
</cp:coreProperties>
</file>