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A402B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A402B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09 серпня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Присутні члени ради: 1</w:t>
      </w:r>
      <w:r w:rsidR="00A402B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адміністративної будівлі з їдальнею літ.А1 та влаштування перехідної галереї між будівлями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’-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літГ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Господарське товариство у формі ТзОВ «Завод «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Флекстронікс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ТзОВ» ) по вул.Берегівська-бічна,4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19824/0/99-21 від 29.07.2021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підвального приміщення адмінбудівлі (літ О) по вул.Свалявська,76 з вбудованим протирадіаційним укриттям №24406 під блок госп</w:t>
      </w:r>
      <w:r w:rsid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(фітнес зал)  та протирадіаційним укриттям на 20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(заявник ТзОВ «ЗІ-ПІВНІЧ»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18920/0/99-21 від 21.07.2021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підвального приміщення адмінбудівлі (літ А) по вул.Свалявська,78 з вбудованим протирадіаційним укриттям №24407 під блок госп</w:t>
      </w:r>
      <w:r w:rsid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та споруду подвійного призначення  а протирадіаційним укриттям на 18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(заявник ТзОВ «ЗІ-СХІД»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18912/0/99-21 від 21.07.2021</w:t>
      </w:r>
    </w:p>
    <w:p w:rsidR="00E646C5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 адміністративно-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торгівельно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-складської будівлі по вул.Пушкіна,1 в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с.Залужжя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Гарапко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І.В.)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19826/0/99-21 від 29.07.2021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1.5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 власної квартири № 26 зі зміною функціонального призначення під перукарню в існуючих межах лінійних розмірів фундаменту по вул.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Беляєва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Павла космонавта, буд. 6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20361/0/99-21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ід 04.08..2021</w:t>
      </w:r>
    </w:p>
    <w:p w:rsid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1.6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магазину промислових товарів по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Мефодія,15 при.6 (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літ.Г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 заявник Яблонська Є.К.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20381/0/99-21 від 04.08.2021</w:t>
      </w:r>
    </w:p>
    <w:p w:rsidR="005522C6" w:rsidRPr="008B6D00" w:rsidRDefault="005522C6" w:rsidP="005522C6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1.7 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Реконструкція квартири та сараю в межах лінійних розмірів фундаментів у плані з надбудовою мансардного поверху по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 8 кв.3 (заявник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Корнеєва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-Уйгелі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О.Г. )</w:t>
      </w:r>
      <w:r w:rsid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</w:t>
      </w:r>
      <w:r w:rsidR="008B6D00" w:rsidRPr="008B6D00">
        <w:rPr>
          <w:rFonts w:ascii="Times New Roman" w:hAnsi="Times New Roman" w:cs="Times New Roman"/>
          <w:color w:val="000000"/>
          <w:sz w:val="28"/>
          <w:szCs w:val="28"/>
          <w:lang w:val="ru-RU"/>
        </w:rPr>
        <w:t>21023/0/99-21</w:t>
      </w:r>
    </w:p>
    <w:p w:rsidR="005522C6" w:rsidRPr="005522C6" w:rsidRDefault="005522C6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2.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Проект благоустрою прилеглої території до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автомийки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самообслуговування по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Олександра,107А (заявник Переверзєв Н.М.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3679/07-17-21 від 22.07.2021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3</w:t>
      </w: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Будівельні паспорта</w:t>
      </w: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E646C5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житлового будинку по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вул.Пушкіна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Олександра,58А  (заявник Харченко Є.В.)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18654/0/99-21 від 19.07.2021</w:t>
      </w:r>
      <w:r w:rsidR="00E646C5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4 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4</w:t>
      </w: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Паспорт опорядження фасаду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4.1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 вул. </w:t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Валленберга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Рауля,1 (заявник Басараб В.В.) 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4.2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</w:r>
      <w:proofErr w:type="spellStart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Вул.Ужгородська</w:t>
      </w:r>
      <w:proofErr w:type="spellEnd"/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9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(заявник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Ришкович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В.Й.) 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5</w:t>
      </w: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 w:rsidR="00270B31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Різне.</w:t>
      </w:r>
    </w:p>
    <w:p w:rsidR="00E646C5" w:rsidRPr="00E646C5" w:rsidRDefault="00E646C5" w:rsidP="00E646C5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5.1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індивідуального житлового будинку по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вул.Карловського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Берталона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16-24 (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Касинець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№17084/0/99-21 від 05.07.2021</w:t>
      </w:r>
    </w:p>
    <w:p w:rsidR="00E646C5" w:rsidRDefault="00E646C5" w:rsidP="00E646C5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5.2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індивідуального житлового будинку по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вул.Добрянського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Адольфа,60-62 (Шафар В.В.,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Волентир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І.І.)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№17310/0/99-21 від 06.07.2021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B13265" w:rsidRDefault="00B13265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Я.Б, яка оголосила порядок денний сьогоднішнього засідання містобудівної ради та повідомила про подані заяви членів архітектурно-містобудівної ради про можливий конфлікт інтересів та відмову від голосування за питаннями порядку денного: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 по п.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 w:rsid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mail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секретаря архітектурно-містобудівної ради  yanamaydanevich@gmail.com зауваження та рекомендації не надходили.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8B6D00" w:rsidRDefault="008B6D00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представила на розгляд 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ї </w:t>
      </w:r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адміністративної будівлі з їдальнею літ.А1 та влаштування перехідної галереї між будівлями </w:t>
      </w:r>
      <w:proofErr w:type="spellStart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літ.А</w:t>
      </w:r>
      <w:proofErr w:type="spellEnd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’- </w:t>
      </w:r>
      <w:proofErr w:type="spellStart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літГ</w:t>
      </w:r>
      <w:proofErr w:type="spellEnd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Господарське товариство у формі ТзОВ «Завод «</w:t>
      </w:r>
      <w:proofErr w:type="spellStart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Флекстронікс</w:t>
      </w:r>
      <w:proofErr w:type="spellEnd"/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ТзОВ») по вул.Берегівська-бічна,4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Проектна пропозиція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розроблена у</w:t>
      </w:r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відповідності до генплану промислового підприємства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8B6D00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надати містобудівні умови та обмеження для проектування об'єкту </w:t>
      </w:r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адміністративної будівлі з їдальнею літ.А1 та влаштування перехідної галереї між будівлями </w:t>
      </w:r>
      <w:proofErr w:type="spellStart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літ.А</w:t>
      </w:r>
      <w:proofErr w:type="spellEnd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’- </w:t>
      </w:r>
      <w:proofErr w:type="spellStart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літГ</w:t>
      </w:r>
      <w:proofErr w:type="spellEnd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Господарське товариство у формі ТзОВ «Завод «</w:t>
      </w:r>
      <w:proofErr w:type="spellStart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Флекстронікс</w:t>
      </w:r>
      <w:proofErr w:type="spellEnd"/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ТзОВ»)</w:t>
      </w:r>
    </w:p>
    <w:p w:rsidR="00BE1181" w:rsidRPr="00BE1181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 (</w:t>
      </w:r>
      <w:proofErr w:type="spellStart"/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 не приймала участі в голосуванні на підставі заяви про можливий конфлікт інтересів)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«Проти»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більшістю 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одноголосно.</w:t>
      </w:r>
    </w:p>
    <w:p w:rsidR="003D3362" w:rsidRDefault="003D336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3054F" w:rsidRPr="00BE1181" w:rsidRDefault="0033054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0" w:name="_Hlk81212940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1.2. СЛУХАЛИ:</w:t>
      </w:r>
    </w:p>
    <w:p w:rsidR="004D6973" w:rsidRDefault="0033054F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підвального приміщення адмінбудівлі (літ О) по вул.Свалявська,76 з вбудованим протирадіаційним укриттям №24406 під блок госп</w:t>
      </w:r>
      <w:r w:rsid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(фітнес зал)  та протирадіаційним укриттям на 20 </w:t>
      </w:r>
      <w:proofErr w:type="spellStart"/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(заявник ТзОВ «ЗІ-ПІВНІЧ»</w:t>
      </w:r>
      <w:r w:rsid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). </w:t>
      </w:r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Державною службою України з надзвичайних ситуацій виключено з обліку захисні споруди протирадіаційних </w:t>
      </w:r>
      <w:proofErr w:type="spellStart"/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укриттів</w:t>
      </w:r>
      <w:proofErr w:type="spellEnd"/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№24406 по вул.Свалявська,76 та №24407 по вул.Свалявська,78 і будуть взят</w:t>
      </w:r>
      <w:r w:rsid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="004D6973"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облік як споруди подвійного призначення після введення в експлуатацію (лист МВК №141/01-19/491 від 02.02.2021</w:t>
      </w:r>
      <w:r w:rsid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349E6" w:rsidRPr="00BE1181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4D6973" w:rsidRDefault="004D6973" w:rsidP="00D348F3">
      <w:pPr>
        <w:tabs>
          <w:tab w:val="left" w:pos="0"/>
        </w:tabs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надати містобудівні умови та обмеження для проектування об'єкту реконструкції підвального приміщення адмінбудівлі (літ О) по вул.Свалявська,76 з вбудованим протирадіаційним укриттям №24406 під блок госп</w:t>
      </w:r>
      <w:r w:rsid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(фітнес зал)  та протирадіаційним укриттям на 20 </w:t>
      </w:r>
      <w:proofErr w:type="spellStart"/>
      <w:r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P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(заявник ТзОВ «ЗІ-ПІВНІЧ»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).</w:t>
      </w:r>
    </w:p>
    <w:p w:rsidR="003349E6" w:rsidRPr="00BE1181" w:rsidRDefault="003349E6" w:rsidP="00D348F3">
      <w:pPr>
        <w:tabs>
          <w:tab w:val="left" w:pos="0"/>
        </w:tabs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4D6973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4D697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bookmarkEnd w:id="0"/>
    <w:p w:rsidR="00D348F3" w:rsidRDefault="00D348F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C1850" w:rsidRPr="009C1850" w:rsidRDefault="009C1850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1.2. СЛУХАЛИ:</w:t>
      </w:r>
    </w:p>
    <w:p w:rsidR="009C1850" w:rsidRPr="009C1850" w:rsidRDefault="009C1850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реконструкції підвального приміщення адмінбудівлі (літ А) по вул.Свалявська,78 з вбудованим протирадіаційним укриттям №24407 під блок госп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та споруду подвійного призначення  а протирадіаційним укриттям на 18 </w:t>
      </w:r>
      <w:proofErr w:type="spellStart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(заявник ТзОВ «ЗІ-СХІД». Державною службою України з надзвичайних ситуацій виключено з обліку захисні споруди протирадіаційних </w:t>
      </w:r>
      <w:proofErr w:type="spellStart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укриттів</w:t>
      </w:r>
      <w:proofErr w:type="spellEnd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№24406 по вул.Свалявська,76 та №24407 по вул.Свалявська,78 і будуть взяті на облік як споруди подвійного призначення після введення в експлуатацію (лист МВК №141/01-19/491 від 02.02.2021.</w:t>
      </w:r>
    </w:p>
    <w:p w:rsidR="009C1850" w:rsidRPr="009C1850" w:rsidRDefault="009C1850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Відділу архітектури та містобудування надати містобудівні умови та обмеження для проектування об'єкту реконструкції підвального приміщення адмінбудівлі (літ А) по вул.Свалявська,78 з вбудованим протирадіаційним укриттям №24407 під блок госп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дарських приміщень та споруду подвійного призначення  а протирадіаційним укриттям на 18 </w:t>
      </w:r>
      <w:proofErr w:type="spellStart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чол</w:t>
      </w:r>
      <w:proofErr w:type="spellEnd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(заявник ТзОВ «ЗІ-СХІД» </w:t>
      </w:r>
    </w:p>
    <w:p w:rsid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25217B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9C1850" w:rsidRDefault="009C1850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25217B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И:</w:t>
      </w:r>
    </w:p>
    <w:p w:rsidR="009C1850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 w:rsid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</w:t>
      </w:r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удівництв</w:t>
      </w:r>
      <w:r w:rsid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адміністративно-</w:t>
      </w:r>
      <w:proofErr w:type="spellStart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торгівельно</w:t>
      </w:r>
      <w:proofErr w:type="spellEnd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-складської будівлі по вул.Пушкіна,1 в </w:t>
      </w:r>
      <w:proofErr w:type="spellStart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с.Залужжя</w:t>
      </w:r>
      <w:proofErr w:type="spellEnd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</w:t>
      </w:r>
      <w:proofErr w:type="spellStart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Гарапко</w:t>
      </w:r>
      <w:proofErr w:type="spellEnd"/>
      <w:r w:rsidR="009C1850"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І.В.) </w:t>
      </w:r>
    </w:p>
    <w:p w:rsidR="00F63AD6" w:rsidRPr="00F63AD6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4C753B" w:rsidRDefault="004C753B" w:rsidP="004C753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" w:name="_Hlk75960393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Відмовити 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 наданні містобудівних умов і обмежень у зв'язку неподання визначених частиною третьою статті 29 Закону України «Про регулювання містобудівної діяльності» документів, необхідних для прийняття рішення про надання містобудівних умов і обмежень, а саме: викопіювання з топографо-геодезичного плану М 1:2000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Для отримання містобудівних умов та обмежень до заяви замовник також додає містобудівний розрахунок, що визначає інвестиційні наміри замовника, в тому числі ескізні наміри забудови мають відображати 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D15818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 xml:space="preserve">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зпмовнику</w:t>
      </w:r>
      <w:proofErr w:type="spellEnd"/>
      <w:r w:rsidRPr="00D15818">
        <w:rPr>
          <w:rFonts w:ascii="Times New Roman" w:hAnsi="Times New Roman" w:cs="Times New Roman"/>
          <w:sz w:val="28"/>
          <w:szCs w:val="28"/>
        </w:rPr>
        <w:t xml:space="preserve"> заяву привести у відповідність до </w:t>
      </w:r>
      <w:r>
        <w:rPr>
          <w:rFonts w:ascii="Times New Roman" w:hAnsi="Times New Roman" w:cs="Times New Roman"/>
          <w:sz w:val="28"/>
          <w:szCs w:val="28"/>
        </w:rPr>
        <w:t xml:space="preserve">вимог </w:t>
      </w:r>
      <w:r w:rsidRPr="00D15818">
        <w:rPr>
          <w:rFonts w:ascii="Times New Roman" w:hAnsi="Times New Roman" w:cs="Times New Roman"/>
          <w:sz w:val="28"/>
          <w:szCs w:val="28"/>
        </w:rPr>
        <w:t>статті 29 Закону України «Про регулювання містобудівної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18">
        <w:rPr>
          <w:rFonts w:ascii="Times New Roman" w:hAnsi="Times New Roman" w:cs="Times New Roman"/>
          <w:sz w:val="28"/>
          <w:szCs w:val="28"/>
        </w:rPr>
        <w:t>та звернутися повторно</w:t>
      </w:r>
    </w:p>
    <w:p w:rsidR="00F63AD6" w:rsidRPr="00F63AD6" w:rsidRDefault="00F63AD6" w:rsidP="004C753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D2456A" w:rsidRDefault="00D2456A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</w:t>
      </w:r>
      <w:bookmarkEnd w:id="1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D2456A" w:rsidRDefault="00D2456A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«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Реконструкція  власної квартири № 26 зі зміною функціонального 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призначення під перукарню в існуючих межах лінійних розмірів фундаменту по вул. </w:t>
      </w:r>
      <w:proofErr w:type="spellStart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Беляєва</w:t>
      </w:r>
      <w:proofErr w:type="spellEnd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Павла космонавта, буд. 6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». Розміщення об’єкту в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ідповідає містобудівній документації: зона Ж-5 Землі житлової та громадської забудови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</w:t>
      </w:r>
      <w:proofErr w:type="spellStart"/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Дерев’яник</w:t>
      </w:r>
      <w:proofErr w:type="spellEnd"/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М.Ф.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зауважи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ла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 необхідність 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укладання договору оренди земельної ділянки під будівлею.</w:t>
      </w: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 w:rsid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</w:p>
    <w:p w:rsid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відхилити на доопрацювання</w:t>
      </w: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Відділу архітектури та містобудування 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повідомити заявника про необхідність врегулювання земельного питання.</w:t>
      </w:r>
    </w:p>
    <w:p w:rsidR="005E65B7" w:rsidRDefault="004C753B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5E65B7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4C753B" w:rsidRDefault="004C753B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2" w:name="_Hlk78375655"/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5E65B7" w:rsidRDefault="005E65B7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«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Будівництво магазину промислових товарів по </w:t>
      </w:r>
      <w:proofErr w:type="spellStart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Мефодія,15 при.6 (</w:t>
      </w:r>
      <w:proofErr w:type="spellStart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літ.Г</w:t>
      </w:r>
      <w:proofErr w:type="spellEnd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заявник Яблонська Є.К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Концепція  забудови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виноситься на розгляд повторно. 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виконання рекомендацій укладено договір оренди земельної ділянки.</w:t>
      </w:r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</w:p>
    <w:p w:rsidR="00F63F55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</w:t>
      </w:r>
      <w:r w:rsidR="00F63F55" w:rsidRP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Будівництво магазину промислових товарів по </w:t>
      </w:r>
      <w:proofErr w:type="spellStart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Мефодія,15 при.6 (</w:t>
      </w:r>
      <w:proofErr w:type="spellStart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літ.Г</w:t>
      </w:r>
      <w:proofErr w:type="spellEnd"/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 w:rsidR="004C753B"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заявник Яблонська</w:t>
      </w:r>
      <w:r w:rsid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Є.</w:t>
      </w:r>
    </w:p>
    <w:p w:rsidR="004C753B" w:rsidRDefault="004C753B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5E65B7" w:rsidRDefault="005E65B7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3" w:name="_Hlk81215323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bookmarkEnd w:id="2"/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4C753B" w:rsidRPr="004C753B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9729A5" w:rsidRDefault="004C753B" w:rsidP="004C753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bookmarkEnd w:id="3"/>
    <w:p w:rsidR="004C753B" w:rsidRDefault="004C753B" w:rsidP="009729A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729A5" w:rsidRPr="009729A5" w:rsidRDefault="009729A5" w:rsidP="009729A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734FE0" w:rsidRDefault="004C753B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реконструкції квартири та сараю в межах лінійних розмірів фундаментів у плані з надбудовою мансардного поверху по </w:t>
      </w:r>
      <w:proofErr w:type="spellStart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 8 кв.3 (заявник </w:t>
      </w:r>
      <w:proofErr w:type="spellStart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Корнеєва</w:t>
      </w:r>
      <w:proofErr w:type="spellEnd"/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О.Г. ). Квартира розташована на території домоволодіння спільного користування, земельне питання не впорядковано</w:t>
      </w:r>
      <w:r w:rsid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 зв’язку з тим, що власниками </w:t>
      </w:r>
      <w:r w:rsid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квартир у даному домоволодіння вже використано право приватизації земельної ділянки для будівництва та обслуговування житлового будинку.</w:t>
      </w:r>
    </w:p>
    <w:p w:rsidR="00386CA3" w:rsidRPr="00386CA3" w:rsidRDefault="00386CA3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734FE0" w:rsidRDefault="00386CA3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734FE0"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еконструкції квартири та сараю в межах лінійних розмірів фундаментів у плані з надбудовою мансардного поверху по </w:t>
      </w:r>
      <w:proofErr w:type="spellStart"/>
      <w:r w:rsidR="00734FE0"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="00734FE0"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 8 кв.3 (заявник </w:t>
      </w:r>
      <w:proofErr w:type="spellStart"/>
      <w:r w:rsidR="00734FE0"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Корнеєва</w:t>
      </w:r>
      <w:proofErr w:type="spellEnd"/>
      <w:r w:rsidR="00734FE0"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О.Г. )</w:t>
      </w:r>
    </w:p>
    <w:p w:rsidR="00734FE0" w:rsidRPr="00734FE0" w:rsidRDefault="00734FE0" w:rsidP="00734FE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734FE0" w:rsidRPr="00734FE0" w:rsidRDefault="00734FE0" w:rsidP="00734FE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734FE0" w:rsidRPr="00734FE0" w:rsidRDefault="00734FE0" w:rsidP="00734FE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734FE0" w:rsidRPr="00734FE0" w:rsidRDefault="00734FE0" w:rsidP="00734FE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B708B2" w:rsidRDefault="00734FE0" w:rsidP="00734FE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34F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734FE0" w:rsidRDefault="00734FE0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A4CB5" w:rsidRPr="000A4CB5" w:rsidRDefault="000A4CB5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 </w:t>
      </w:r>
      <w:r w:rsidRP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7B041F" w:rsidRDefault="00E84A64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4" w:name="_Hlk78378787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2.1 </w:t>
      </w:r>
      <w:proofErr w:type="spellStart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благоустрою прилеглої території до </w:t>
      </w:r>
      <w:proofErr w:type="spellStart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автомийки</w:t>
      </w:r>
      <w:proofErr w:type="spellEnd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самообслуговування по </w:t>
      </w:r>
      <w:proofErr w:type="spellStart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Олександра,107А (заявник Переверзєв Н.М.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), яким визначено матеріал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мощення, влаштування бордюрів та </w:t>
      </w:r>
      <w:proofErr w:type="spellStart"/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>поребриків</w:t>
      </w:r>
      <w:proofErr w:type="spellEnd"/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041F">
        <w:rPr>
          <w:rFonts w:ascii="Times New Roman" w:hAnsi="Times New Roman" w:cs="Times New Roman"/>
          <w:color w:val="000000"/>
          <w:sz w:val="28"/>
          <w:szCs w:val="28"/>
        </w:rPr>
        <w:t xml:space="preserve">заміна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старого покриття на нове, </w:t>
      </w:r>
      <w:r w:rsidR="007B041F">
        <w:rPr>
          <w:rFonts w:ascii="Times New Roman" w:hAnsi="Times New Roman" w:cs="Times New Roman"/>
          <w:color w:val="000000"/>
          <w:sz w:val="28"/>
          <w:szCs w:val="28"/>
        </w:rPr>
        <w:t xml:space="preserve">ширина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>газонів, висадка зелених насаджень</w:t>
      </w:r>
      <w:r w:rsidR="007B04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E5F" w:rsidRDefault="00365E5F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bookmarkEnd w:id="4"/>
      <w:r w:rsidRP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365E5F" w:rsidRDefault="00365E5F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схвалити. Відділу архітектури та містобудування на чергове засідання виконкому</w:t>
      </w:r>
      <w:r w:rsid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яке заплановано на 17.08.2021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винести проект рішення   п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 погодження проект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благоустрою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834A98" w:rsidRPr="00834A98" w:rsidRDefault="00834A98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834A98" w:rsidRPr="00834A98" w:rsidRDefault="00834A98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834A98" w:rsidRPr="00834A98" w:rsidRDefault="00834A98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834A98" w:rsidRPr="00834A98" w:rsidRDefault="00834A98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5D37D8" w:rsidRDefault="00834A98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84A64" w:rsidRDefault="00E84A64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СЛУХАЛИ: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3.1 </w:t>
      </w:r>
      <w:proofErr w:type="spellStart"/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реконструкції 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житлового будинку по </w:t>
      </w:r>
      <w:proofErr w:type="spellStart"/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вул.Пушкіна</w:t>
      </w:r>
      <w:proofErr w:type="spellEnd"/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Олександра,58А  (заявник Харченко Є.В.)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приватній земельній ділянці для будівництва та обслуговування житлового будинку та господарських будівель і споруд площею 1424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., площа забудови земельної ділянки 106,5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Ескізними намірами визначено реконструкція одноквартирного 2-х поверхового житлового будинку з мансардним поверхом. Після реконструкції загальна площа будинку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становитеме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234,3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п.2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відхилити на доопрацювання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Відділу архітектури та містобудування на чергове засідання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архітектурно-містобудівної ради запросити заявника 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A528AB" w:rsidRPr="00A528AB" w:rsidRDefault="00A528AB" w:rsidP="00A528A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A528AB">
        <w:t xml:space="preserve"> </w:t>
      </w:r>
      <w:r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A528AB" w:rsidRDefault="00A528AB" w:rsidP="00A528A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75EAC"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Басараб В.В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 затвердження паспорту опорядження фасадів будівлі на розі </w:t>
      </w:r>
      <w:proofErr w:type="spellStart"/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вул.Валленберга</w:t>
      </w:r>
      <w:proofErr w:type="spellEnd"/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Рауля,1 та </w:t>
      </w:r>
      <w:proofErr w:type="spellStart"/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Мефодія,2. </w:t>
      </w:r>
      <w:r w:rsidR="00F75EAC"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Загальний паспорт опорядження фасаду затверджений. Ескізними намірами передбачається влаштування 2-х дверей у існуючих віконних прорізах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A528AB" w:rsidRDefault="00A528AB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</w:p>
    <w:p w:rsidR="00F75EAC" w:rsidRPr="00F75EAC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відхилити на доопрацювання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Відділу архітектури та містобудування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повідомити заявника про необхідність організації придверного тамбура та обов’язкове відкривання дверей всередину приміщень у зв’язку з вузьким тротуаром та інтенсивним рухом пішоходів по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вул.Валленберга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Рауля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Також рекомендувати заявнику скористатися  </w:t>
      </w:r>
      <w:r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Програм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ою</w:t>
      </w:r>
      <w:r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збереження історичного виду фасадів та/або дахів багатоквартирних будинків, що розташовані в межах зони історичного ареалу міста Мукачево, підтримки 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Мукачево. Програма передбачає фінансування робіт на будівлях які знаходиться в незадовільному технічному стані, такий стан може призвести до аварійної ситуації.</w:t>
      </w:r>
    </w:p>
    <w:p w:rsidR="00F75EAC" w:rsidRPr="00F75EAC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Програма спрямована на стимулювання активності мешканців у напрямку збереження та покращення стану житлового фонду у місті. Фінансування робіт здійснюється за такими принципами: не менше 70% співвласниками багатоквартирного будинку; не більше 30% бюджет Мукачівської міської територіальної громади.</w:t>
      </w:r>
    </w:p>
    <w:p w:rsidR="00F75EAC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Заходи Програми передбачені до реалізації протягом 2021-2023 років.</w:t>
      </w:r>
    </w:p>
    <w:p w:rsidR="00F75EAC" w:rsidRDefault="00F75EAC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«Проти» -0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75EAC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F75EAC" w:rsidRDefault="00F75EAC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F102A" w:rsidRPr="00FF102A" w:rsidRDefault="00FF102A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FF102A" w:rsidRPr="00270B31" w:rsidRDefault="00FF102A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</w:t>
      </w:r>
      <w:proofErr w:type="spellStart"/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Ришкович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В.Й.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 затвердження паспорту опорядження фасадів будівлі на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вул.Ужгородська,9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аспорт опорядження фасаду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виноситься на розгляд повторно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виконання зауважень, е</w:t>
      </w: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скізними намірами передбачається</w:t>
      </w:r>
      <w:r w:rsidR="00270B31"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опорядження фасаду в цілому, заміна покрівлі єдиним покрівельним матеріалом, влаштування слухових вікон в </w:t>
      </w:r>
      <w:proofErr w:type="spellStart"/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піддаховому</w:t>
      </w:r>
      <w:proofErr w:type="spellEnd"/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просторі.</w:t>
      </w:r>
    </w:p>
    <w:p w:rsidR="00270B31" w:rsidRDefault="00270B31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F102A" w:rsidRPr="00FF102A" w:rsidRDefault="00FF102A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п.4</w:t>
      </w:r>
    </w:p>
    <w:p w:rsidR="00F75EAC" w:rsidRDefault="00FF102A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F102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схвалити. Відділу архітектури та містобудування управління міського господарства надати паспорт опорядження фасаду будівлі по вул.Ужгородська,9.</w:t>
      </w:r>
    </w:p>
    <w:p w:rsidR="00270B31" w:rsidRPr="00270B31" w:rsidRDefault="00270B31" w:rsidP="00270B3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270B31" w:rsidRPr="00270B31" w:rsidRDefault="00270B31" w:rsidP="00270B3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270B31" w:rsidRPr="00270B31" w:rsidRDefault="00270B31" w:rsidP="00270B3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270B31" w:rsidRPr="00270B31" w:rsidRDefault="00270B31" w:rsidP="00270B3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75EAC" w:rsidRDefault="00270B31" w:rsidP="00270B3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</w:p>
    <w:p w:rsidR="00270B31" w:rsidRDefault="00270B3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70B31"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схему забудови квартал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у по вул.Берегівська,41А в </w:t>
      </w:r>
      <w:proofErr w:type="spellStart"/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м.Мукачева</w:t>
      </w:r>
      <w:proofErr w:type="spellEnd"/>
      <w:r w:rsidR="00270B31" w:rsidRP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із урахуванням сформованих земельних ділянок.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звернення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власників земельних ділянок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для будівництва та обслуговування житлових будинків та господарських будівель і споруд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гр.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Касинець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І.М.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r w:rsidR="00E93513" w:rsidRPr="00E93513">
        <w:t xml:space="preserve"> 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вул.Карловського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Берталона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16-24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Шафар В.В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вул.Добрянського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Адольфа,60-62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щодо будівництва зблокованих житлових будинків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садибного типу.</w:t>
      </w: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E557C7" w:rsidRDefault="00270B3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вернення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власників земельних ділянок для будівництва та обслуговування житлових будинків та господарських будівель і споруд гр.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Касинець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І.М.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r w:rsidRPr="00E93513">
        <w:t xml:space="preserve"> </w:t>
      </w:r>
      <w:proofErr w:type="spellStart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вул.Карловського</w:t>
      </w:r>
      <w:proofErr w:type="spellEnd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Берталона</w:t>
      </w:r>
      <w:proofErr w:type="spellEnd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16-24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та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Шафар В.В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(</w:t>
      </w:r>
      <w:proofErr w:type="spellStart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вул.Добрянського</w:t>
      </w:r>
      <w:proofErr w:type="spellEnd"/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Адольфа,60-62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щодо будівництва зблокованих житлових будинків садибного типу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задовільнити. У зв’язку з тим, що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чинною містобудівною документацією Планом зонування території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зонінгом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 території за вищезазначеними адресами знаходяться в зоні с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адибної забудови Ж-1, Ж-2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яка в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изначена для розташування одноквартирних житлових будинків включно із земельними ділянками та зблокованих одноквартирних житлових будинків на сусідніх земельних ділянках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що не суперечить намірам забудови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відділу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архітектури та містобудування надати будівельні паспорти, вище зазначеним забудовникам.  </w:t>
      </w:r>
    </w:p>
    <w:p w:rsidR="00270B31" w:rsidRDefault="00270B31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- 17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E93513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Default="0099350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70B3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Заступник г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архітектурно-містобудівної ради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В.БУДНІК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25217B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Д</w:t>
      </w:r>
      <w:r w:rsidR="003E68B4"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одаток 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Протоколу АМБР №1</w:t>
      </w:r>
      <w:r w:rsidR="000D014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від </w:t>
      </w:r>
      <w:r w:rsidR="000D014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09.08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2"/>
          <w:sz w:val="24"/>
          <w:szCs w:val="24"/>
          <w:lang w:eastAsia="zh-CN" w:bidi="hi-IN"/>
        </w:rPr>
      </w:pPr>
      <w:r w:rsidRPr="003E68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Склад архітектурно-містобудівної ради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3E68B4" w:rsidRPr="003E68B4" w:rsidTr="000D0148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Заступник голови ради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Буднік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Володимир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начальника управління міського господарства Мукачівської міської ради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0D0148">
        <w:trPr>
          <w:trHeight w:val="455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Секретар ради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Майданевич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Яна Борисівна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3E68B4" w:rsidRPr="003E68B4" w:rsidTr="000D0148">
        <w:trPr>
          <w:trHeight w:val="5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Члени ради:</w:t>
            </w:r>
          </w:p>
        </w:tc>
      </w:tr>
      <w:tr w:rsidR="00E557C7" w:rsidRPr="003E68B4" w:rsidTr="000D0148">
        <w:tc>
          <w:tcPr>
            <w:tcW w:w="2959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Балога Андрій Вікторович</w:t>
            </w:r>
          </w:p>
        </w:tc>
        <w:tc>
          <w:tcPr>
            <w:tcW w:w="1004" w:type="dxa"/>
            <w:shd w:val="clear" w:color="auto" w:fill="auto"/>
          </w:tcPr>
          <w:p w:rsidR="00E557C7" w:rsidRPr="003E68B4" w:rsidRDefault="00E557C7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міський голова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Барчій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Васильович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Блінов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начальник управління міського господарства 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Мукачівської  міської ради</w:t>
            </w:r>
          </w:p>
        </w:tc>
      </w:tr>
      <w:tr w:rsidR="00AE6B53" w:rsidRPr="003E68B4" w:rsidTr="000D0148">
        <w:tc>
          <w:tcPr>
            <w:tcW w:w="2959" w:type="dxa"/>
            <w:shd w:val="clear" w:color="auto" w:fill="auto"/>
          </w:tcPr>
          <w:p w:rsidR="00AE6B53" w:rsidRPr="003E68B4" w:rsidRDefault="00AE6B53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Глас Руслан Сергійович</w:t>
            </w:r>
          </w:p>
        </w:tc>
        <w:tc>
          <w:tcPr>
            <w:tcW w:w="1004" w:type="dxa"/>
            <w:shd w:val="clear" w:color="auto" w:fill="auto"/>
          </w:tcPr>
          <w:p w:rsidR="00AE6B53" w:rsidRPr="003E68B4" w:rsidRDefault="00AE6B53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AE6B53" w:rsidRPr="003E68B4" w:rsidRDefault="00AE6B53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Желізник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Михайло 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Мигальович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val="en-US"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управління будівництва та інфраструктури Мукачівської  міської ради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Ільтьо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Михайлович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Малешко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Юрій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підприємець, член виконавчого комітету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Піркл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Світлана Василівна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інженер-будівельник, директор ПП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Архбудконсул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Федів Ростислав Євгенович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перший заступник міського голови</w:t>
            </w:r>
            <w:r w:rsidRPr="003E68B4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 питань діяльності виконавчих органів Мукачівської міської ради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Черепаня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директор ММКП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Мукачевопроект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ЗАПРОШЕНІ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3E68B4" w:rsidRPr="003E68B4" w:rsidTr="000D0148">
        <w:tc>
          <w:tcPr>
            <w:tcW w:w="2959" w:type="dxa"/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Дерев’яник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Маріанна Федорівна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відділу економіки Мукачівської міської ради</w:t>
            </w:r>
            <w:bookmarkStart w:id="5" w:name="_GoBack"/>
            <w:bookmarkEnd w:id="5"/>
          </w:p>
        </w:tc>
      </w:tr>
    </w:tbl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BE1181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sectPr w:rsidR="003E68B4" w:rsidRPr="00BE118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72F" w:rsidRDefault="0049372F" w:rsidP="00653DF9">
      <w:pPr>
        <w:spacing w:after="0" w:line="240" w:lineRule="auto"/>
      </w:pPr>
      <w:r>
        <w:separator/>
      </w:r>
    </w:p>
  </w:endnote>
  <w:endnote w:type="continuationSeparator" w:id="0">
    <w:p w:rsidR="0049372F" w:rsidRDefault="0049372F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EndPr/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72F" w:rsidRDefault="0049372F" w:rsidP="00653DF9">
      <w:pPr>
        <w:spacing w:after="0" w:line="240" w:lineRule="auto"/>
      </w:pPr>
      <w:r>
        <w:separator/>
      </w:r>
    </w:p>
  </w:footnote>
  <w:footnote w:type="continuationSeparator" w:id="0">
    <w:p w:rsidR="0049372F" w:rsidRDefault="0049372F" w:rsidP="006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A4CB5"/>
    <w:rsid w:val="000D0148"/>
    <w:rsid w:val="000E4854"/>
    <w:rsid w:val="00126697"/>
    <w:rsid w:val="001745C3"/>
    <w:rsid w:val="001F035D"/>
    <w:rsid w:val="0025217B"/>
    <w:rsid w:val="00270B31"/>
    <w:rsid w:val="002A2D62"/>
    <w:rsid w:val="002E5030"/>
    <w:rsid w:val="00305F75"/>
    <w:rsid w:val="0033017F"/>
    <w:rsid w:val="0033054F"/>
    <w:rsid w:val="003349E6"/>
    <w:rsid w:val="003641FA"/>
    <w:rsid w:val="00365E5F"/>
    <w:rsid w:val="00386CA3"/>
    <w:rsid w:val="003C1F63"/>
    <w:rsid w:val="003D3362"/>
    <w:rsid w:val="003E68B4"/>
    <w:rsid w:val="00450FF1"/>
    <w:rsid w:val="0049372F"/>
    <w:rsid w:val="004B02DD"/>
    <w:rsid w:val="004C753B"/>
    <w:rsid w:val="004D6973"/>
    <w:rsid w:val="004E0177"/>
    <w:rsid w:val="00507ACB"/>
    <w:rsid w:val="005522C6"/>
    <w:rsid w:val="0059775A"/>
    <w:rsid w:val="005D029F"/>
    <w:rsid w:val="005D37D8"/>
    <w:rsid w:val="005E33F4"/>
    <w:rsid w:val="005E65B7"/>
    <w:rsid w:val="00653DF9"/>
    <w:rsid w:val="00671D44"/>
    <w:rsid w:val="006A04BF"/>
    <w:rsid w:val="006C5C36"/>
    <w:rsid w:val="006D32D4"/>
    <w:rsid w:val="007217B1"/>
    <w:rsid w:val="00734FE0"/>
    <w:rsid w:val="007A3572"/>
    <w:rsid w:val="007B041F"/>
    <w:rsid w:val="007E3509"/>
    <w:rsid w:val="007E52E9"/>
    <w:rsid w:val="007F2A16"/>
    <w:rsid w:val="00834A98"/>
    <w:rsid w:val="008B6D00"/>
    <w:rsid w:val="008C3837"/>
    <w:rsid w:val="008E3306"/>
    <w:rsid w:val="009521FD"/>
    <w:rsid w:val="009729A5"/>
    <w:rsid w:val="00993501"/>
    <w:rsid w:val="009C1850"/>
    <w:rsid w:val="00A402B1"/>
    <w:rsid w:val="00A528AB"/>
    <w:rsid w:val="00A939B6"/>
    <w:rsid w:val="00AA4F50"/>
    <w:rsid w:val="00AB1F24"/>
    <w:rsid w:val="00AC1B2F"/>
    <w:rsid w:val="00AE6B53"/>
    <w:rsid w:val="00B13265"/>
    <w:rsid w:val="00B23E7E"/>
    <w:rsid w:val="00B708B2"/>
    <w:rsid w:val="00BC24D8"/>
    <w:rsid w:val="00BC774E"/>
    <w:rsid w:val="00BE1181"/>
    <w:rsid w:val="00C24714"/>
    <w:rsid w:val="00C8461B"/>
    <w:rsid w:val="00C927E0"/>
    <w:rsid w:val="00CD2C71"/>
    <w:rsid w:val="00D2456A"/>
    <w:rsid w:val="00D348F3"/>
    <w:rsid w:val="00D44CA2"/>
    <w:rsid w:val="00E557C7"/>
    <w:rsid w:val="00E646C5"/>
    <w:rsid w:val="00E84A64"/>
    <w:rsid w:val="00E93513"/>
    <w:rsid w:val="00EA7522"/>
    <w:rsid w:val="00EC4EDC"/>
    <w:rsid w:val="00F1308B"/>
    <w:rsid w:val="00F548DA"/>
    <w:rsid w:val="00F63AD6"/>
    <w:rsid w:val="00F63F55"/>
    <w:rsid w:val="00F75EAC"/>
    <w:rsid w:val="00F90000"/>
    <w:rsid w:val="00FD71B2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F2A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14</cp:revision>
  <cp:lastPrinted>2021-08-30T12:43:00Z</cp:lastPrinted>
  <dcterms:created xsi:type="dcterms:W3CDTF">2021-08-26T11:22:00Z</dcterms:created>
  <dcterms:modified xsi:type="dcterms:W3CDTF">2021-08-30T12:44:00Z</dcterms:modified>
</cp:coreProperties>
</file>