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1B01" w:rsidRDefault="007E1B01" w:rsidP="007E1B01">
      <w:pPr>
        <w:tabs>
          <w:tab w:val="left" w:pos="7230"/>
        </w:tabs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bookmarkStart w:id="0" w:name="_GoBack"/>
      <w:bookmarkEnd w:id="0"/>
      <w:r w:rsidRPr="003F19BE">
        <w:rPr>
          <w:rFonts w:eastAsia="Calibri"/>
          <w:sz w:val="28"/>
          <w:szCs w:val="28"/>
          <w:lang w:eastAsia="en-US"/>
        </w:rPr>
        <w:t>Додаток 1</w:t>
      </w:r>
    </w:p>
    <w:p w:rsidR="007E1B01" w:rsidRDefault="007E1B01" w:rsidP="007E1B01">
      <w:pPr>
        <w:pStyle w:val="a3"/>
        <w:tabs>
          <w:tab w:val="left" w:pos="567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До рішення виконавчого </w:t>
      </w:r>
    </w:p>
    <w:p w:rsidR="007E1B01" w:rsidRDefault="007E1B01" w:rsidP="007E1B01">
      <w:pPr>
        <w:pStyle w:val="a3"/>
        <w:tabs>
          <w:tab w:val="left" w:pos="567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комітету Мукачівської міської </w:t>
      </w:r>
    </w:p>
    <w:p w:rsidR="007E1B01" w:rsidRDefault="007E1B01" w:rsidP="007E1B01">
      <w:pPr>
        <w:pStyle w:val="a3"/>
        <w:tabs>
          <w:tab w:val="left" w:pos="567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ради</w:t>
      </w:r>
    </w:p>
    <w:p w:rsidR="007E1B01" w:rsidRPr="00CC7A4E" w:rsidRDefault="007E1B01" w:rsidP="007E1B01">
      <w:pPr>
        <w:pStyle w:val="a3"/>
        <w:tabs>
          <w:tab w:val="left" w:pos="567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від 26.03.2019  № 86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E1B01" w:rsidRPr="00CC7A4E" w:rsidRDefault="007E1B01" w:rsidP="007E1B01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CC7A4E">
        <w:rPr>
          <w:rFonts w:eastAsia="Calibri"/>
          <w:b/>
          <w:sz w:val="28"/>
          <w:szCs w:val="28"/>
          <w:lang w:eastAsia="en-US"/>
        </w:rPr>
        <w:t>ПОЛОЖЕННЯ</w:t>
      </w:r>
    </w:p>
    <w:p w:rsidR="007E1B01" w:rsidRPr="00CC7A4E" w:rsidRDefault="007E1B01" w:rsidP="007E1B01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CC7A4E">
        <w:rPr>
          <w:rFonts w:eastAsia="Calibri"/>
          <w:b/>
          <w:sz w:val="28"/>
          <w:szCs w:val="28"/>
          <w:lang w:eastAsia="en-US"/>
        </w:rPr>
        <w:t>про архітектурно-містобудівну раду</w:t>
      </w:r>
    </w:p>
    <w:p w:rsidR="007E1B01" w:rsidRDefault="007E1B01" w:rsidP="007E1B01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CC7A4E">
        <w:rPr>
          <w:rFonts w:eastAsia="Calibri"/>
          <w:b/>
          <w:sz w:val="28"/>
          <w:szCs w:val="28"/>
          <w:lang w:eastAsia="en-US"/>
        </w:rPr>
        <w:t xml:space="preserve">при управлінні комунальної власності та архітектури </w:t>
      </w:r>
    </w:p>
    <w:p w:rsidR="007E1B01" w:rsidRPr="00CC7A4E" w:rsidRDefault="007E1B01" w:rsidP="007E1B01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CC7A4E">
        <w:rPr>
          <w:rFonts w:eastAsia="Calibri"/>
          <w:b/>
          <w:sz w:val="28"/>
          <w:szCs w:val="28"/>
          <w:lang w:eastAsia="en-US"/>
        </w:rPr>
        <w:t>Мукачівської міської ради</w:t>
      </w:r>
    </w:p>
    <w:p w:rsidR="007E1B01" w:rsidRPr="00CC7A4E" w:rsidRDefault="007E1B01" w:rsidP="007E1B01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</w:p>
    <w:p w:rsidR="007E1B01" w:rsidRPr="00CC7A4E" w:rsidRDefault="007E1B01" w:rsidP="007E1B01">
      <w:pPr>
        <w:pStyle w:val="a3"/>
        <w:jc w:val="center"/>
        <w:rPr>
          <w:rFonts w:eastAsia="Calibri"/>
          <w:sz w:val="28"/>
          <w:szCs w:val="28"/>
          <w:lang w:eastAsia="en-US"/>
        </w:rPr>
      </w:pPr>
      <w:r w:rsidRPr="00CC7A4E">
        <w:rPr>
          <w:rFonts w:eastAsia="Calibri"/>
          <w:sz w:val="28"/>
          <w:szCs w:val="28"/>
          <w:lang w:eastAsia="en-US"/>
        </w:rPr>
        <w:t>1. Загальні положення</w:t>
      </w:r>
    </w:p>
    <w:p w:rsidR="007E1B01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 xml:space="preserve">1.1. Архітектурно-містобудівна рада при </w:t>
      </w:r>
      <w:r>
        <w:rPr>
          <w:rFonts w:eastAsia="Calibri"/>
          <w:sz w:val="28"/>
          <w:szCs w:val="28"/>
          <w:lang w:eastAsia="en-US"/>
        </w:rPr>
        <w:t>управлінні комунальної власності та архітектури Мукачівської міської ради</w:t>
      </w:r>
      <w:r w:rsidRPr="003F19BE">
        <w:rPr>
          <w:rFonts w:eastAsia="Calibri"/>
          <w:sz w:val="28"/>
          <w:szCs w:val="28"/>
          <w:lang w:eastAsia="en-US"/>
        </w:rPr>
        <w:t xml:space="preserve"> (надалі – архітектурно-містобудівна рада) утворюється для професійного колегіального розгляду і обговорення містобудівних, архітектурних та інженерних проектних рішень об’єктів архітектури і містобудування, а також основних положень архітектурно-планувальних завдань та програм на розробку значних об’єктів архітектури і містобудування.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>1.2. Архітектурно-містобудівна рада здійснює свою діяльність згідно з вимогами</w:t>
      </w:r>
      <w:r>
        <w:rPr>
          <w:rFonts w:eastAsia="Calibri"/>
          <w:sz w:val="28"/>
          <w:szCs w:val="28"/>
          <w:lang w:eastAsia="en-US"/>
        </w:rPr>
        <w:t xml:space="preserve"> чинного</w:t>
      </w:r>
      <w:r w:rsidRPr="003F19BE">
        <w:rPr>
          <w:rFonts w:eastAsia="Calibri"/>
          <w:sz w:val="28"/>
          <w:szCs w:val="28"/>
          <w:lang w:eastAsia="en-US"/>
        </w:rPr>
        <w:t xml:space="preserve"> законодавства України та Типового положення про архітектурно-містобудівні ради, затвердженого наказом Міністерства регіонального розвитку, будівництва та житлово-комунального господарства України від 07.07.2011 № 108.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 xml:space="preserve">1.3. Архітектурно-містобудівна рада розглядає містобудівні та архітектурні рішення </w:t>
      </w:r>
      <w:proofErr w:type="spellStart"/>
      <w:r w:rsidRPr="003F19BE">
        <w:rPr>
          <w:rFonts w:eastAsia="Calibri"/>
          <w:sz w:val="28"/>
          <w:szCs w:val="28"/>
          <w:lang w:eastAsia="en-US"/>
        </w:rPr>
        <w:t>передпроектної</w:t>
      </w:r>
      <w:proofErr w:type="spellEnd"/>
      <w:r w:rsidRPr="003F19BE">
        <w:rPr>
          <w:rFonts w:eastAsia="Calibri"/>
          <w:sz w:val="28"/>
          <w:szCs w:val="28"/>
          <w:lang w:eastAsia="en-US"/>
        </w:rPr>
        <w:t xml:space="preserve"> та проектної документації, яка розробляється на замовлення юридичних і фізичних осіб, незалежно від відомчої належності та форм власності, на території </w:t>
      </w:r>
      <w:r>
        <w:rPr>
          <w:rFonts w:eastAsia="Calibri"/>
          <w:sz w:val="28"/>
          <w:szCs w:val="28"/>
          <w:lang w:eastAsia="en-US"/>
        </w:rPr>
        <w:t>Мукачівської об'єднаної територіальної громади.</w:t>
      </w:r>
    </w:p>
    <w:p w:rsidR="007E1B01" w:rsidRPr="003F19BE" w:rsidRDefault="007E1B01" w:rsidP="007E1B01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>2. Основні завдання архітектурно-містобудівної ради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>2.1. Архітектурно-містобудівна рада згідно з наданими</w:t>
      </w:r>
      <w:r>
        <w:rPr>
          <w:rFonts w:eastAsia="Calibri"/>
          <w:sz w:val="28"/>
          <w:szCs w:val="28"/>
          <w:lang w:eastAsia="en-US"/>
        </w:rPr>
        <w:t xml:space="preserve"> чинним</w:t>
      </w:r>
      <w:r w:rsidRPr="003F19BE">
        <w:rPr>
          <w:rFonts w:eastAsia="Calibri"/>
          <w:sz w:val="28"/>
          <w:szCs w:val="28"/>
          <w:lang w:eastAsia="en-US"/>
        </w:rPr>
        <w:t xml:space="preserve"> законодавством України повноваженнями у сфері містобудування та архітектури розглядає містобудівну і проектну документацію та надає </w:t>
      </w:r>
      <w:r>
        <w:rPr>
          <w:rFonts w:eastAsia="Calibri"/>
          <w:sz w:val="28"/>
          <w:szCs w:val="28"/>
          <w:lang w:eastAsia="en-US"/>
        </w:rPr>
        <w:t>управлінню комунальної власності та архітектури Мукачівської міської ради</w:t>
      </w:r>
      <w:r w:rsidRPr="003F19BE">
        <w:rPr>
          <w:rFonts w:eastAsia="Calibri"/>
          <w:sz w:val="28"/>
          <w:szCs w:val="28"/>
          <w:lang w:eastAsia="en-US"/>
        </w:rPr>
        <w:t xml:space="preserve"> рекомендації з питань планування, забудови та іншого використання територій, а саме: 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lastRenderedPageBreak/>
        <w:t>2.1.1. Визначення державних інтересів у проектах містобудівної документації; генерального плану; детальних планів територій, проектів зонування територій, а також історико-архітектурних опорних планів.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>2.1.2. Будівництва об’єктів (будинків і споруд житлового, громадського, комунального, промислового та іншого призначення, об’єктів садово-паркової та ландшафтної архітектури, монументального і монументально-декоративного мистецтва, а також об’єктів реставрації, пристосування пам’яток архітектури та містобудування).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>2.2. При розгляді містобудівної та проектної документації рекомендації надаються на підставі їх оцінки відповідно до вимог законодавства, державних будівельних норм, особливостей містобудівної ситуації (архітектурно-планувальних рішень, техніко-економічних показників та архітектурної виразності).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>2.3. Результати розгляду архітектурно-містобудівною радою проектів містобудівної документації враховуються під час подальшого доопрацювання та затвердження таких проектів.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>2.4. Результати розгляду архітектурно-містобудівною радою проектів будівництва мають виключно рекомендаційний характер і не можуть вимагатися під час погодження та затвердження таких проектів.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>2.5. Архітектурно-містобудівна рада надає рекомендації з питань планування, забудови та іншого використання територій у межах історичних ареалів населених місць і зон охорони пам’яток архітектури та містобудування з врахуванням рішень консультативних рад з питань охорони культурної спадщини.</w:t>
      </w:r>
    </w:p>
    <w:p w:rsidR="007E1B01" w:rsidRPr="003F19BE" w:rsidRDefault="007E1B01" w:rsidP="007E1B01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>3. Склад і структура архітектурно-містобудівної ради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>3.1. Архітектурно-містобудівна рада утворюється у скл</w:t>
      </w:r>
      <w:r>
        <w:rPr>
          <w:rFonts w:eastAsia="Calibri"/>
          <w:sz w:val="28"/>
          <w:szCs w:val="28"/>
          <w:lang w:eastAsia="en-US"/>
        </w:rPr>
        <w:t>аді голови ради, його заступника</w:t>
      </w:r>
      <w:r w:rsidRPr="003F19BE">
        <w:rPr>
          <w:rFonts w:eastAsia="Calibri"/>
          <w:sz w:val="28"/>
          <w:szCs w:val="28"/>
          <w:lang w:eastAsia="en-US"/>
        </w:rPr>
        <w:t>, секретаря та членів ради – фахівців у сфері будівництва, містобудування та архітектури, які мають відповідну вищу освіту та досвід роботи у цій сфері, представників відповідних органів виконавчої влади, творчих спілок (за згодою).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 xml:space="preserve">3.2. Головою архітектурно-містобудівної ради є начальник </w:t>
      </w:r>
      <w:r>
        <w:rPr>
          <w:rFonts w:eastAsia="Calibri"/>
          <w:sz w:val="28"/>
          <w:szCs w:val="28"/>
          <w:lang w:eastAsia="en-US"/>
        </w:rPr>
        <w:t>відділу архітектури та містобудування управління комунальної власності та архітектури Мукачівської міської ради – головний архітектор.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lastRenderedPageBreak/>
        <w:t xml:space="preserve">3.3. Склад архітектурно-містобудівної ради формується з найбільш авторитетних і висококваліфікованих фахівців у сфері будівництва, містобудування та архітектури, які становлять не менше половини загальної кількості членів ради, а також інженерів, будівельників, науковців, представників місцевих органів виконавчої влади та місцевого самоврядування, представників місцевих органів державного контролю, творчих спілок та інших професійних організацій. 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 xml:space="preserve">3.4. При архітектурно-містобудівній раді можуть бути створені професійні секції (експертні групи) як з членів архітектурно-містобудівної ради, так і інженерів, будівельників, науковців, представників місцевих органів виконавчої влади та місцевого самоврядування, представників місцевих органів державного контролю, творчих спілок та інших професійних організацій за напрямками містобудівної та архітектурної діяльності. Склад і керівники секцій (експертних груп) затверджуються наказом начальника управління </w:t>
      </w:r>
      <w:r>
        <w:rPr>
          <w:rFonts w:eastAsia="Calibri"/>
          <w:sz w:val="28"/>
          <w:szCs w:val="28"/>
          <w:lang w:eastAsia="en-US"/>
        </w:rPr>
        <w:t>комунальної власності та архітектури Мукачівської міської ради.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>3.5. На засідання архітектурно-містобудівної ради чи її секцій (експертних груп), у разі потреби, крім замовника та розробників проекту, можуть бути також запрошені (без права голосування) представники зацікавлених державних та недержавних установ, проектних, науково-дослідних і громадських організацій, експертизи, преси тощо.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>3.6. Для попереднього рецензування проектів, які розглядає архітектурно-містобудівна рада, можуть залучатися не тільки члени ради, а й інші висококваліфіковані фахівці.</w:t>
      </w:r>
    </w:p>
    <w:p w:rsidR="007E1B01" w:rsidRPr="003F19BE" w:rsidRDefault="007E1B01" w:rsidP="007E1B01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>4. Права архітектурно-містобудівної ради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>4.1. Архітектурно-містобудівна рада має право: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 xml:space="preserve">4.1.1. Розглядати і схвалювати містобудівні, архітектурні та інженерні проектні рішення, розроблені відповідно до </w:t>
      </w:r>
      <w:r>
        <w:rPr>
          <w:rFonts w:eastAsia="Calibri"/>
          <w:sz w:val="28"/>
          <w:szCs w:val="28"/>
          <w:lang w:eastAsia="en-US"/>
        </w:rPr>
        <w:t xml:space="preserve">чинного </w:t>
      </w:r>
      <w:r w:rsidRPr="003F19BE">
        <w:rPr>
          <w:rFonts w:eastAsia="Calibri"/>
          <w:sz w:val="28"/>
          <w:szCs w:val="28"/>
          <w:lang w:eastAsia="en-US"/>
        </w:rPr>
        <w:t xml:space="preserve">законодавства України, державних будівельних стандартів, норм і затвердженої містобудівної документації та надавати рекомендації і висновки управлінню </w:t>
      </w:r>
      <w:r>
        <w:rPr>
          <w:rFonts w:eastAsia="Calibri"/>
          <w:sz w:val="28"/>
          <w:szCs w:val="28"/>
          <w:lang w:eastAsia="en-US"/>
        </w:rPr>
        <w:t>комунальної власності та архітектури Мукачівської міської ради</w:t>
      </w:r>
      <w:r w:rsidRPr="003F19BE">
        <w:rPr>
          <w:rFonts w:eastAsia="Calibri"/>
          <w:sz w:val="28"/>
          <w:szCs w:val="28"/>
          <w:lang w:eastAsia="en-US"/>
        </w:rPr>
        <w:t>, замовникам та розробникам містобудівної, проектно-кошторисної документації щодо їх погодження чи доопрацювання.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 xml:space="preserve">4.1.2. При розгляді містобудівних умов та обмежень забудови земельної ділянки подавати пропозиції </w:t>
      </w:r>
      <w:r>
        <w:rPr>
          <w:rFonts w:eastAsia="Calibri"/>
          <w:sz w:val="28"/>
          <w:szCs w:val="28"/>
          <w:lang w:eastAsia="en-US"/>
        </w:rPr>
        <w:t>управлінню комунальної власності та архітектури Мукачівської міської ради</w:t>
      </w:r>
      <w:r w:rsidRPr="003F19BE">
        <w:rPr>
          <w:rFonts w:eastAsia="Calibri"/>
          <w:sz w:val="28"/>
          <w:szCs w:val="28"/>
          <w:lang w:eastAsia="en-US"/>
        </w:rPr>
        <w:t xml:space="preserve"> щодо доцільності внесення необхідних </w:t>
      </w:r>
      <w:r w:rsidRPr="003F19BE">
        <w:rPr>
          <w:rFonts w:eastAsia="Calibri"/>
          <w:sz w:val="28"/>
          <w:szCs w:val="28"/>
          <w:lang w:eastAsia="en-US"/>
        </w:rPr>
        <w:lastRenderedPageBreak/>
        <w:t>додаткових вимог або рекомендувати проведення конкурсу на планування і забудову окремої ділянки чи окремого об’єкта архітектури.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 xml:space="preserve">4.1.3. Готувати і передавати для публікації у пресі </w:t>
      </w:r>
      <w:r>
        <w:rPr>
          <w:rFonts w:eastAsia="Calibri"/>
          <w:sz w:val="28"/>
          <w:szCs w:val="28"/>
          <w:lang w:eastAsia="en-US"/>
        </w:rPr>
        <w:t xml:space="preserve">та офіційному сайті Мукачівської міської ради </w:t>
      </w:r>
      <w:r w:rsidRPr="003F19BE">
        <w:rPr>
          <w:rFonts w:eastAsia="Calibri"/>
          <w:sz w:val="28"/>
          <w:szCs w:val="28"/>
          <w:lang w:eastAsia="en-US"/>
        </w:rPr>
        <w:t>матеріали, які розглянуті на засіданнях архітектурно-містобудівної ради.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>4.1.4. Надавати виконавчим органам</w:t>
      </w:r>
      <w:r>
        <w:rPr>
          <w:rFonts w:eastAsia="Calibri"/>
          <w:sz w:val="28"/>
          <w:szCs w:val="28"/>
          <w:lang w:eastAsia="en-US"/>
        </w:rPr>
        <w:t xml:space="preserve"> Мукачівської</w:t>
      </w:r>
      <w:r w:rsidRPr="003F19BE">
        <w:rPr>
          <w:rFonts w:eastAsia="Calibri"/>
          <w:sz w:val="28"/>
          <w:szCs w:val="28"/>
          <w:lang w:eastAsia="en-US"/>
        </w:rPr>
        <w:t xml:space="preserve"> міської ради, замовникам рекомендації щодо здійснення у необхідних випадках </w:t>
      </w:r>
      <w:proofErr w:type="spellStart"/>
      <w:r w:rsidRPr="003F19BE">
        <w:rPr>
          <w:rFonts w:eastAsia="Calibri"/>
          <w:sz w:val="28"/>
          <w:szCs w:val="28"/>
          <w:lang w:eastAsia="en-US"/>
        </w:rPr>
        <w:t>передпроектних</w:t>
      </w:r>
      <w:proofErr w:type="spellEnd"/>
      <w:r w:rsidRPr="003F19BE">
        <w:rPr>
          <w:rFonts w:eastAsia="Calibri"/>
          <w:sz w:val="28"/>
          <w:szCs w:val="28"/>
          <w:lang w:eastAsia="en-US"/>
        </w:rPr>
        <w:t xml:space="preserve"> робіт та інших заходів з охорони пам’яток історії та культури, у тому числі містобудування, архітектури та історичної забудови.</w:t>
      </w:r>
    </w:p>
    <w:p w:rsidR="007E1B01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>4.2. Члени архітектурно-містобудівної ради повинні бути присутніми на її засіданнях, брати активну участь в обговоренні питань, які розглядаються, сприяти виконанню рекомендацій і висновків архітектурно-містобудівної ради, якісно та вчасно виконувати доручення щодо підготовки питань для обговорення на засіданнях.</w:t>
      </w:r>
    </w:p>
    <w:p w:rsidR="007E1B01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B38E1">
        <w:rPr>
          <w:rFonts w:eastAsia="Calibri"/>
          <w:sz w:val="28"/>
          <w:szCs w:val="28"/>
          <w:lang w:eastAsia="en-US"/>
        </w:rPr>
        <w:t xml:space="preserve">4.3.Члени Ради мають право: </w:t>
      </w:r>
    </w:p>
    <w:p w:rsidR="007E1B01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bookmarkStart w:id="1" w:name="o45"/>
      <w:bookmarkEnd w:id="1"/>
      <w:r>
        <w:rPr>
          <w:rFonts w:eastAsia="Calibri"/>
          <w:sz w:val="28"/>
          <w:szCs w:val="28"/>
          <w:lang w:eastAsia="en-US"/>
        </w:rPr>
        <w:t xml:space="preserve">   4.3.1. </w:t>
      </w:r>
      <w:r w:rsidRPr="00DB38E1">
        <w:rPr>
          <w:rFonts w:eastAsia="Calibri"/>
          <w:sz w:val="28"/>
          <w:szCs w:val="28"/>
          <w:lang w:eastAsia="en-US"/>
        </w:rPr>
        <w:t xml:space="preserve">заздалегідь бути  поінформованими  про  план   роботи   Ради, </w:t>
      </w:r>
      <w:r w:rsidRPr="00DB38E1">
        <w:rPr>
          <w:rFonts w:eastAsia="Calibri"/>
          <w:sz w:val="28"/>
          <w:szCs w:val="28"/>
          <w:lang w:eastAsia="en-US"/>
        </w:rPr>
        <w:br/>
        <w:t xml:space="preserve">порядок денний засідань та про питання,  запропоновані до розгляду </w:t>
      </w:r>
      <w:r w:rsidRPr="00DB38E1">
        <w:rPr>
          <w:rFonts w:eastAsia="Calibri"/>
          <w:sz w:val="28"/>
          <w:szCs w:val="28"/>
          <w:lang w:eastAsia="en-US"/>
        </w:rPr>
        <w:br/>
        <w:t xml:space="preserve">на засіданні Ради; </w:t>
      </w:r>
    </w:p>
    <w:p w:rsidR="007E1B01" w:rsidRPr="00DB38E1" w:rsidRDefault="007E1B01" w:rsidP="007E1B01">
      <w:pPr>
        <w:suppressAutoHyphens w:val="0"/>
        <w:spacing w:after="20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bookmarkStart w:id="2" w:name="o46"/>
      <w:bookmarkEnd w:id="2"/>
      <w:r>
        <w:rPr>
          <w:rFonts w:eastAsia="Calibri"/>
          <w:sz w:val="28"/>
          <w:szCs w:val="28"/>
          <w:lang w:eastAsia="en-US"/>
        </w:rPr>
        <w:t xml:space="preserve">4.3.2 </w:t>
      </w:r>
      <w:r w:rsidRPr="00DB38E1">
        <w:rPr>
          <w:rFonts w:eastAsia="Calibri"/>
          <w:sz w:val="28"/>
          <w:szCs w:val="28"/>
          <w:lang w:eastAsia="en-US"/>
        </w:rPr>
        <w:t xml:space="preserve">брати участь у розгляді питань, включених до порядку денного, </w:t>
      </w:r>
      <w:r w:rsidRPr="00DB38E1">
        <w:rPr>
          <w:rFonts w:eastAsia="Calibri"/>
          <w:sz w:val="28"/>
          <w:szCs w:val="28"/>
          <w:lang w:eastAsia="en-US"/>
        </w:rPr>
        <w:br/>
        <w:t xml:space="preserve">обговорювати  містобудівні,  архітектурно-технічні  та   інженерні </w:t>
      </w:r>
      <w:r w:rsidRPr="00DB38E1">
        <w:rPr>
          <w:rFonts w:eastAsia="Calibri"/>
          <w:sz w:val="28"/>
          <w:szCs w:val="28"/>
          <w:lang w:eastAsia="en-US"/>
        </w:rPr>
        <w:br/>
        <w:t xml:space="preserve">проектні рішення, висловлювати свої зауваження та пропозиції. </w:t>
      </w:r>
      <w:r w:rsidRPr="00DB38E1">
        <w:rPr>
          <w:rFonts w:eastAsia="Calibri"/>
          <w:sz w:val="28"/>
          <w:szCs w:val="28"/>
          <w:lang w:eastAsia="en-US"/>
        </w:rPr>
        <w:br/>
      </w:r>
      <w:bookmarkStart w:id="3" w:name="o47"/>
      <w:bookmarkEnd w:id="3"/>
      <w:r>
        <w:rPr>
          <w:rFonts w:eastAsia="Calibri"/>
          <w:sz w:val="28"/>
          <w:szCs w:val="28"/>
          <w:lang w:eastAsia="en-US"/>
        </w:rPr>
        <w:t xml:space="preserve">   </w:t>
      </w:r>
      <w:r w:rsidRPr="00DB38E1">
        <w:rPr>
          <w:rFonts w:eastAsia="Calibri"/>
          <w:sz w:val="28"/>
          <w:szCs w:val="28"/>
          <w:lang w:eastAsia="en-US"/>
        </w:rPr>
        <w:t>4.3.</w:t>
      </w:r>
      <w:r>
        <w:rPr>
          <w:rFonts w:eastAsia="Calibri"/>
          <w:sz w:val="28"/>
          <w:szCs w:val="28"/>
          <w:lang w:eastAsia="en-US"/>
        </w:rPr>
        <w:t>3.</w:t>
      </w:r>
      <w:r w:rsidRPr="00DB38E1">
        <w:rPr>
          <w:rFonts w:eastAsia="Calibri"/>
          <w:sz w:val="28"/>
          <w:szCs w:val="28"/>
          <w:lang w:eastAsia="en-US"/>
        </w:rPr>
        <w:t xml:space="preserve"> При  розгляді  містобудівної  та  проектної документації </w:t>
      </w:r>
      <w:r w:rsidRPr="00DB38E1">
        <w:rPr>
          <w:rFonts w:eastAsia="Calibri"/>
          <w:sz w:val="28"/>
          <w:szCs w:val="28"/>
          <w:lang w:eastAsia="en-US"/>
        </w:rPr>
        <w:br/>
        <w:t xml:space="preserve">члени Ради зобов'язані керуватися вимогами чинного  законодавства, </w:t>
      </w:r>
      <w:r w:rsidRPr="00DB38E1">
        <w:rPr>
          <w:rFonts w:eastAsia="Calibri"/>
          <w:sz w:val="28"/>
          <w:szCs w:val="28"/>
          <w:lang w:eastAsia="en-US"/>
        </w:rPr>
        <w:br/>
        <w:t xml:space="preserve">державних будівельних норм, стандартів і правил. </w:t>
      </w:r>
      <w:r w:rsidRPr="00DB38E1">
        <w:rPr>
          <w:rFonts w:eastAsia="Calibri"/>
          <w:sz w:val="28"/>
          <w:szCs w:val="28"/>
          <w:lang w:eastAsia="en-US"/>
        </w:rPr>
        <w:br/>
      </w:r>
      <w:bookmarkStart w:id="4" w:name="o48"/>
      <w:bookmarkEnd w:id="4"/>
      <w:r w:rsidRPr="00DB38E1">
        <w:rPr>
          <w:rFonts w:eastAsia="Calibri"/>
          <w:sz w:val="28"/>
          <w:szCs w:val="28"/>
          <w:lang w:eastAsia="en-US"/>
        </w:rPr>
        <w:t xml:space="preserve">     4.4. Голова Ради,  його заступник,  секретар,  члени не мають </w:t>
      </w:r>
      <w:r w:rsidRPr="00DB38E1">
        <w:rPr>
          <w:rFonts w:eastAsia="Calibri"/>
          <w:sz w:val="28"/>
          <w:szCs w:val="28"/>
          <w:lang w:eastAsia="en-US"/>
        </w:rPr>
        <w:br/>
        <w:t xml:space="preserve">права  брати  участь  в  обговоренні  на  засіданнях  питань  щодо </w:t>
      </w:r>
      <w:r w:rsidRPr="00DB38E1">
        <w:rPr>
          <w:rFonts w:eastAsia="Calibri"/>
          <w:sz w:val="28"/>
          <w:szCs w:val="28"/>
          <w:lang w:eastAsia="en-US"/>
        </w:rPr>
        <w:br/>
        <w:t xml:space="preserve">проектування  об'єктів  містобудування,  у  розробленні  яких вони </w:t>
      </w:r>
      <w:r w:rsidRPr="00DB38E1">
        <w:rPr>
          <w:rFonts w:eastAsia="Calibri"/>
          <w:sz w:val="28"/>
          <w:szCs w:val="28"/>
          <w:lang w:eastAsia="en-US"/>
        </w:rPr>
        <w:br/>
        <w:t xml:space="preserve">брали участь. </w:t>
      </w:r>
      <w:r w:rsidRPr="00DB38E1">
        <w:rPr>
          <w:rFonts w:eastAsia="Calibri"/>
          <w:sz w:val="28"/>
          <w:szCs w:val="28"/>
          <w:lang w:eastAsia="en-US"/>
        </w:rPr>
        <w:br/>
      </w:r>
      <w:bookmarkStart w:id="5" w:name="o49"/>
      <w:bookmarkEnd w:id="5"/>
      <w:r w:rsidRPr="00DB38E1">
        <w:rPr>
          <w:rFonts w:eastAsia="Calibri"/>
          <w:sz w:val="28"/>
          <w:szCs w:val="28"/>
          <w:lang w:eastAsia="en-US"/>
        </w:rPr>
        <w:t xml:space="preserve">     4.5. Члени Ради  не  можуть  брати  участь  в  обговоренні  і </w:t>
      </w:r>
      <w:r w:rsidRPr="00DB38E1">
        <w:rPr>
          <w:rFonts w:eastAsia="Calibri"/>
          <w:sz w:val="28"/>
          <w:szCs w:val="28"/>
          <w:lang w:eastAsia="en-US"/>
        </w:rPr>
        <w:br/>
        <w:t xml:space="preserve">голосуванні  щодо проектів,  авторами яких є їх близькі родичі,  а </w:t>
      </w:r>
      <w:r w:rsidRPr="00DB38E1">
        <w:rPr>
          <w:rFonts w:eastAsia="Calibri"/>
          <w:sz w:val="28"/>
          <w:szCs w:val="28"/>
          <w:lang w:eastAsia="en-US"/>
        </w:rPr>
        <w:br/>
        <w:t xml:space="preserve">також  у  випадках,  коли   проекти   розробляються   працівниками </w:t>
      </w:r>
      <w:r w:rsidRPr="00DB38E1">
        <w:rPr>
          <w:rFonts w:eastAsia="Calibri"/>
          <w:sz w:val="28"/>
          <w:szCs w:val="28"/>
          <w:lang w:eastAsia="en-US"/>
        </w:rPr>
        <w:br/>
        <w:t xml:space="preserve">проектної установи, у якій вони працюють. 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>4.4. Голова архітектурно-містобудівної ради (заступник), якщо він є автором проекту, право на розробку якого здобуте у результаті конкурсу і який розглядається, не має права вести засідання.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lastRenderedPageBreak/>
        <w:t>4.5. Члени ради в аналогічному випадку не мають права голосувати за свій авторський проект.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>4.6. Члени архітектурно-містобудівної ради беруть участь у її роботі на громадських засадах.</w:t>
      </w:r>
    </w:p>
    <w:p w:rsidR="007E1B01" w:rsidRPr="003F19BE" w:rsidRDefault="007E1B01" w:rsidP="007E1B01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>5. Організація роботи архітектурно-містобудівної ради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 xml:space="preserve">5.1. Формою роботи архітектурно-містобудівної ради є засідання, що проводяться згідно з планом та порядком денним, які складає її секретар та затверджує голова архітектурно-містобудівної ради. Позачергові засідання архітектурно-містобудівної ради скликаються за рішенням голови архітектурно-містобудівної ради. Засідання архітектурно-містобудівної ради є відкритими. Архітектурно-містобудівна рада розглядає питання, включені до порядку денного за поданням замовника проекту. Порядок денний формується за зверненнями замовників. 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 xml:space="preserve">Подання архітектурно-містобудівній раді проектних та демонстраційних матеріалів для розгляду та їх технічний супровід здійснює замовник або за його дорученням автор-розробник (тиражування, копіювання, інформаційні та довідкові матеріали тощо). 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>Склад матеріалів повинен відповідати вимогам державних будівельних норм щодо проектної документації відповідної стадії проектування.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>5.2. Засідання архітектурно-містобудівної ради веде голова, а за його відсутності – заступник голови. Підготовку матеріалів для розгляду на засіданнях забезпечує секретар архітектурно-містобудівної ради.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>Засідання архітектурно-містобудівної ради вважається правомочним, якщо на ньому присутні більш як половина його членів.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 xml:space="preserve">5.3. Організаційне забезпечення роботи архітектурно-містобудівної ради покладається на управління </w:t>
      </w:r>
      <w:r>
        <w:rPr>
          <w:rFonts w:eastAsia="Calibri"/>
          <w:sz w:val="28"/>
          <w:szCs w:val="28"/>
          <w:lang w:eastAsia="en-US"/>
        </w:rPr>
        <w:t>комунальної власності та архітектури виконавчого комітету Мукачівської міської ради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>5.4. Архітектурно-містобудівна рада розглядає матеріали проекту, подані за десять робочих днів до її засідання.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 xml:space="preserve">5.5. Управління </w:t>
      </w:r>
      <w:r>
        <w:rPr>
          <w:rFonts w:eastAsia="Calibri"/>
          <w:sz w:val="28"/>
          <w:szCs w:val="28"/>
          <w:lang w:eastAsia="en-US"/>
        </w:rPr>
        <w:t>комунальної власності та архітектури Мукачівської міської ради</w:t>
      </w:r>
      <w:r w:rsidRPr="003F19BE">
        <w:rPr>
          <w:rFonts w:eastAsia="Calibri"/>
          <w:sz w:val="28"/>
          <w:szCs w:val="28"/>
          <w:lang w:eastAsia="en-US"/>
        </w:rPr>
        <w:t xml:space="preserve">, при якому функціонує архітектурно-містобудівна рада, </w:t>
      </w:r>
      <w:r w:rsidRPr="003603FA">
        <w:rPr>
          <w:rFonts w:eastAsia="Calibri"/>
          <w:sz w:val="28"/>
          <w:szCs w:val="28"/>
          <w:lang w:eastAsia="en-US"/>
        </w:rPr>
        <w:t xml:space="preserve">за 20 робочих днів до розгляду на засіданні </w:t>
      </w:r>
      <w:r>
        <w:rPr>
          <w:rFonts w:eastAsia="Calibri"/>
          <w:sz w:val="28"/>
          <w:szCs w:val="28"/>
          <w:lang w:eastAsia="en-US"/>
        </w:rPr>
        <w:t>р</w:t>
      </w:r>
      <w:r w:rsidRPr="003603FA">
        <w:rPr>
          <w:rFonts w:eastAsia="Calibri"/>
          <w:sz w:val="28"/>
          <w:szCs w:val="28"/>
          <w:lang w:eastAsia="en-US"/>
        </w:rPr>
        <w:t xml:space="preserve">ади проекту містобудівної документації </w:t>
      </w:r>
      <w:r>
        <w:rPr>
          <w:rFonts w:eastAsia="Calibri"/>
          <w:sz w:val="28"/>
          <w:szCs w:val="28"/>
          <w:lang w:eastAsia="en-US"/>
        </w:rPr>
        <w:t xml:space="preserve">на місцевому рівні письмово </w:t>
      </w:r>
      <w:r w:rsidRPr="003F19BE">
        <w:rPr>
          <w:rFonts w:eastAsia="Calibri"/>
          <w:sz w:val="28"/>
          <w:szCs w:val="28"/>
          <w:lang w:eastAsia="en-US"/>
        </w:rPr>
        <w:t xml:space="preserve">інформує про дату та місце такого розгляду органи державної влади, які відповідно до закону мають повноваження щодо розгляду </w:t>
      </w:r>
      <w:r w:rsidRPr="003F19BE">
        <w:rPr>
          <w:rFonts w:eastAsia="Calibri"/>
          <w:sz w:val="28"/>
          <w:szCs w:val="28"/>
          <w:lang w:eastAsia="en-US"/>
        </w:rPr>
        <w:lastRenderedPageBreak/>
        <w:t>проекту містобудівної документації, та забезпечує можливість ознайомлення з її розділами (за відповідним напрямом). За результатами розгляду зазначені органи подають уповноваженому органові містобудування та архітектури свої висновки. Письмові висновки додаються до матеріалів засідання архітектурно-містобудівної ради.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 xml:space="preserve">У разі ненадання письмових висновків до проекту містобудівної документації </w:t>
      </w:r>
      <w:r>
        <w:rPr>
          <w:rFonts w:eastAsia="Calibri"/>
          <w:sz w:val="28"/>
          <w:szCs w:val="28"/>
          <w:lang w:eastAsia="en-US"/>
        </w:rPr>
        <w:t xml:space="preserve">місцевого рівня </w:t>
      </w:r>
      <w:r w:rsidRPr="003F19BE">
        <w:rPr>
          <w:rFonts w:eastAsia="Calibri"/>
          <w:sz w:val="28"/>
          <w:szCs w:val="28"/>
          <w:lang w:eastAsia="en-US"/>
        </w:rPr>
        <w:t>протягом 20 днів з дня надходження інформації про розгляд містобудівної документації такий проект вважається погодженим.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>5.6. На засіданні архітектурно-містобудівної ради доповідає автор проекту</w:t>
      </w:r>
      <w:r>
        <w:rPr>
          <w:rFonts w:eastAsia="Calibri"/>
          <w:sz w:val="28"/>
          <w:szCs w:val="28"/>
          <w:lang w:eastAsia="en-US"/>
        </w:rPr>
        <w:t xml:space="preserve"> (замовник, або уповноважена ним особа)</w:t>
      </w:r>
      <w:r w:rsidRPr="003F19BE">
        <w:rPr>
          <w:rFonts w:eastAsia="Calibri"/>
          <w:sz w:val="28"/>
          <w:szCs w:val="28"/>
          <w:lang w:eastAsia="en-US"/>
        </w:rPr>
        <w:t>.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>5.7. На проекти містобудівної документації та проекти будівництва IV, V категорій складності готується рецензія (на замовлення замовника проектною організацією, яку замовник обирає самостійно). Рецензія подається у письмовому вигляді.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>5.8. Розгляд на засіданні архітектурно-містобудівної ради проектів реконструкції об’єктів будівництва, щодо яких діють майнові права автора, проводиться за участю автора або колективу авторів відповідно до Закону України “Про авторське право і суміжні права“.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>5.9. Пропозиції та рекомендації вважаються схваленими, якщо за них проголосувало більш як половина присутніх на засіданні членів архітектурно-містобудівної ради.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>У разі рівного розподілу голосів вирішальним є голос головуючого на засіданні.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>5.10. За результатами розгляду та обговорення питань секретар складає протокол, який підписує головуючий на засіданні та секретар.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>5.11. Протокол містить: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>5.11.1. Поіменний перелік присутніх членів архітектурно-містобудівної ради та запрошених осіб.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>5.11.2. Питання, які розглядаються на засіданні.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>5.11.3. Відомості про замовника.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 xml:space="preserve">5.11.4. Дані щодо автора-розробника </w:t>
      </w:r>
      <w:proofErr w:type="spellStart"/>
      <w:r w:rsidRPr="003F19BE">
        <w:rPr>
          <w:rFonts w:eastAsia="Calibri"/>
          <w:sz w:val="28"/>
          <w:szCs w:val="28"/>
          <w:lang w:eastAsia="en-US"/>
        </w:rPr>
        <w:t>передпроектної</w:t>
      </w:r>
      <w:proofErr w:type="spellEnd"/>
      <w:r w:rsidRPr="003F19BE">
        <w:rPr>
          <w:rFonts w:eastAsia="Calibri"/>
          <w:sz w:val="28"/>
          <w:szCs w:val="28"/>
          <w:lang w:eastAsia="en-US"/>
        </w:rPr>
        <w:t xml:space="preserve"> та проектної документації, доповідача, рецензента та тих, хто виступає.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lastRenderedPageBreak/>
        <w:t>5.11.5. У разі необхідності: основні характеристики об’єкта, перелік вихідних даних (основних), рішення про відведення земельної ділянки (для об'єктів будівництва), особливі умови, основні висновки щодо відповідності вихідним даним, стислий зміст обговорень з відображенням позицій, висловлювань щодо питання та остаточними рекомендаціями архітектурно-містобудівної ради.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>5.12. Протокол складається протягом 10 робочих днів з дня проведення відповідного засідання архітектурно-містобудівної ради.</w:t>
      </w:r>
    </w:p>
    <w:p w:rsidR="007E1B01" w:rsidRPr="003F19BE" w:rsidRDefault="007E1B01" w:rsidP="007E1B0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>5.13. Член архітектурно-містобудівної ради, який не підтримує пропозиції (рекомендації), може викласти у письмовій формі свою окрему думку, яка додається до протоколу засідання.</w:t>
      </w:r>
    </w:p>
    <w:p w:rsidR="00416911" w:rsidRDefault="00416911"/>
    <w:sectPr w:rsidR="0041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01"/>
    <w:rsid w:val="00416911"/>
    <w:rsid w:val="005C6199"/>
    <w:rsid w:val="007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DE7B"/>
  <w15:chartTrackingRefBased/>
  <w15:docId w15:val="{EB7C8CE6-8CA9-4159-BB9F-1892ECE3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B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B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1906</Words>
  <Characters>10867</Characters>
  <Application>Microsoft Office Word</Application>
  <DocSecurity>0</DocSecurity>
  <Lines>90</Lines>
  <Paragraphs>25</Paragraphs>
  <ScaleCrop>false</ScaleCrop>
  <Company/>
  <LinksUpToDate>false</LinksUpToDate>
  <CharactersWithSpaces>12748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1</cp:revision>
  <dcterms:created xsi:type="dcterms:W3CDTF">2021-05-17T10:59:00Z</dcterms:created>
  <dcterms:modified xsi:type="dcterms:W3CDTF">2021-05-17T11:00:00Z</dcterms:modified>
</cp:coreProperties>
</file>