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Liberation Serif;Times New Roman" w:cs="Liberation Serif;Times New Roman"/>
          <w:b/>
          <w:b/>
          <w:sz w:val="28"/>
          <w:szCs w:val="28"/>
        </w:rPr>
      </w:pPr>
      <w:r>
        <w:rPr>
          <w:rFonts w:eastAsia="Liberation Serif;Times New Roman" w:cs="Liberation Serif;Times New Roman"/>
          <w:b/>
          <w:sz w:val="28"/>
          <w:szCs w:val="28"/>
        </w:rPr>
        <w:t xml:space="preserve"> </w:t>
      </w:r>
    </w:p>
    <w:p>
      <w:pPr>
        <w:pStyle w:val="Normal"/>
        <w:spacing w:before="280" w:after="280"/>
        <w:ind w:left="0" w:right="0" w:firstLine="300"/>
        <w:jc w:val="center"/>
        <w:rPr/>
      </w:pP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Звіт про періодичне відстеження результативності регуляторного акта -  рішення 10-ої сесії Мукачівської міської ради 6-го скликання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від 26 травня 2011р., № 219 </w:t>
      </w:r>
      <w:r>
        <w:rPr>
          <w:rStyle w:val="Style14"/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>«Про рух транспортних засобів у центральній пішохідній частині міста»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1. Вид та назва регуляторного акта: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Рішення Мукачівської міської ради від 26 травня 2011 р., № 219 </w:t>
      </w:r>
      <w:r>
        <w:rPr>
          <w:rStyle w:val="Style14"/>
          <w:rFonts w:cs="Times New Roman" w:ascii="Times New Roman" w:hAnsi="Times New Roman"/>
          <w:b w:val="false"/>
          <w:sz w:val="28"/>
          <w:szCs w:val="28"/>
          <w:lang w:val="uk-UA"/>
        </w:rPr>
        <w:t>«Про рух транспортних засобів у центральній пішохідній частині міста».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2. Назва виконавця заходів з відстеження результативності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відділ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архітектури 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 xml:space="preserve">та містобудування Управління міського господарства </w:t>
      </w:r>
      <w:r>
        <w:rPr>
          <w:rFonts w:cs="Times New Roman" w:ascii="Times New Roman" w:hAnsi="Times New Roman"/>
          <w:sz w:val="28"/>
          <w:szCs w:val="28"/>
          <w:lang w:val="uk-UA"/>
        </w:rPr>
        <w:t>Мукачівської міської ради.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3. </w:t>
      </w:r>
      <w:r>
        <w:rPr>
          <w:rStyle w:val="Googqstidbitgoogqstidbit0googqstidbithilite"/>
          <w:rFonts w:cs="Times New Roman" w:ascii="Times New Roman" w:hAnsi="Times New Roman"/>
          <w:b/>
          <w:sz w:val="28"/>
          <w:szCs w:val="28"/>
          <w:lang w:val="uk-UA"/>
        </w:rPr>
        <w:t>Цілі прийняття акта:</w:t>
      </w:r>
      <w:r>
        <w:rPr>
          <w:rStyle w:val="Googqstidbitgoogqstidbit0googqstidbithilite"/>
          <w:rFonts w:cs="Times New Roman" w:ascii="Times New Roman" w:hAnsi="Times New Roman"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Забезпечення безпеки та поліпшення організації дорожнього руху, утримання в належному стані доріг комунальної власності, поліпшення екологічної ситуації  та стану благоустрою території  м. Мукачево.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4. Строк виконання заходів з відстеження</w:t>
      </w:r>
      <w:r>
        <w:rPr>
          <w:rFonts w:cs="Times New Roman" w:ascii="Times New Roman" w:hAnsi="Times New Roman"/>
          <w:sz w:val="28"/>
          <w:szCs w:val="28"/>
          <w:u w:val="single"/>
          <w:lang w:val="uk-UA"/>
        </w:rPr>
        <w:t>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Періодичне відстеження результативності дії даного рішення проведено згідно з вимогами Закону України "Про засади державної регуляторної політики у сфері господарської діяльності" </w:t>
      </w:r>
      <w:r>
        <w:rPr>
          <w:rFonts w:cs="Times New Roman" w:ascii="Times New Roman" w:hAnsi="Times New Roman"/>
          <w:sz w:val="28"/>
          <w:szCs w:val="28"/>
          <w:lang w:val="uk-UA"/>
        </w:rPr>
        <w:t>( з 01.01.2019 по 31.12.2019р)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5. Тип відстеження : 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періодичне </w:t>
      </w:r>
      <w:r>
        <w:rPr>
          <w:rFonts w:cs="Times New Roman" w:ascii="Times New Roman" w:hAnsi="Times New Roman"/>
          <w:sz w:val="28"/>
          <w:szCs w:val="28"/>
        </w:rPr>
        <w:t>відстеження.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6. Методи одержання результатів відстеження 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bCs/>
          <w:sz w:val="28"/>
          <w:szCs w:val="28"/>
        </w:rPr>
        <w:t>Для одержання результатів відстеження використовувався метод відстеження результативності - аналіз статистичних даних.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7</w:t>
      </w:r>
      <w:r>
        <w:rPr>
          <w:rFonts w:cs="Times New Roman" w:ascii="Times New Roman" w:hAnsi="Times New Roman"/>
          <w:b/>
          <w:sz w:val="28"/>
          <w:szCs w:val="28"/>
        </w:rPr>
        <w:t>.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Дані,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на основі яких відстежувалась результативність регуляторного акта : 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cs="Times New Roman" w:ascii="Times New Roman" w:hAnsi="Times New Roman"/>
          <w:sz w:val="28"/>
          <w:szCs w:val="28"/>
        </w:rPr>
        <w:t>звернення, пропозиції та скарги фізичних та юридичних осіб (</w:t>
      </w:r>
      <w:r>
        <w:rPr>
          <w:rFonts w:eastAsia="SimSun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центр надання адміністративних послуг Мукачівської міської ради</w:t>
      </w:r>
      <w:r>
        <w:rPr>
          <w:rFonts w:cs="Times New Roman" w:ascii="Times New Roman" w:hAnsi="Times New Roman"/>
          <w:sz w:val="28"/>
          <w:szCs w:val="28"/>
        </w:rPr>
        <w:t>, засоби масової інформації, мережа інтернет);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8. </w:t>
      </w:r>
      <w:r>
        <w:rPr>
          <w:rFonts w:cs="Times New Roman" w:ascii="Times New Roman" w:hAnsi="Times New Roman"/>
          <w:b/>
          <w:sz w:val="28"/>
          <w:szCs w:val="28"/>
        </w:rPr>
        <w:t>Кількісні та якісні значення показників результативності акта :</w:t>
        <w:tab/>
      </w:r>
      <w:r>
        <w:rPr>
          <w:rFonts w:cs="Times New Roman" w:ascii="Times New Roman" w:hAnsi="Times New Roman"/>
          <w:sz w:val="28"/>
          <w:szCs w:val="28"/>
        </w:rPr>
        <w:t xml:space="preserve">З метою створення безпечних та комфортних умов для учасників дорожнього руху, утримання в належному стані доріг комунальної власності, поліпшення екологічної ситуації та стану благоустрою центральної частини міста Мукачево, виникла необхідність у прийнятті такого рішення. </w:t>
      </w:r>
    </w:p>
    <w:p>
      <w:pPr>
        <w:pStyle w:val="Normal"/>
        <w:jc w:val="both"/>
        <w:rPr/>
      </w:pPr>
      <w:r>
        <w:rPr>
          <w:rStyle w:val="Style14"/>
          <w:rFonts w:cs="Times New Roman" w:ascii="Times New Roman" w:hAnsi="Times New Roman"/>
          <w:b w:val="false"/>
          <w:sz w:val="28"/>
          <w:szCs w:val="28"/>
          <w:lang w:val="uk-UA"/>
        </w:rPr>
        <w:tab/>
        <w:t>Обмеживши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рух транспортних засобів в центральній частині міста, яка є пішохідною зоною (площа Кирила і Мефодія та площа Духновича до вул. Зріні Ілони) досягнуто поставленої мети, а саме: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центр міста став привабливішим як для жителів, так і для туристів;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покращився екологічний стан (зменшення руху транспортних засобів-                   зменшило викид вихлопних газів у повітря);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забезпечено безпеку пішоходів (діти, люди літнього віку та ін. можуть вільно пересуватися, відвідувати кав’ярні, магазини тощо);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покращилася дисципліна водіїв (паркування у дозволених місцях);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створено кращі умови для розвитку підприємництва у центральній частині міста (власники кав’ярень мають можливість влаштування терас);</w:t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спостерігається позитивний вплив на благоустрій даної території (</w:t>
      </w:r>
      <w:r>
        <w:rPr>
          <w:rFonts w:cs="Times New Roman" w:ascii="Times New Roman" w:hAnsi="Times New Roman"/>
          <w:sz w:val="28"/>
          <w:szCs w:val="28"/>
        </w:rPr>
        <w:t xml:space="preserve">додержання чистоти та порядку, збереження зелених насаджень </w:t>
      </w:r>
      <w:r>
        <w:rPr>
          <w:rFonts w:cs="Times New Roman" w:ascii="Times New Roman" w:hAnsi="Times New Roman"/>
          <w:sz w:val="28"/>
          <w:szCs w:val="28"/>
          <w:lang w:val="uk-UA"/>
        </w:rPr>
        <w:t>: клу</w:t>
      </w:r>
      <w:r>
        <w:rPr>
          <w:rFonts w:cs="Times New Roman" w:ascii="Times New Roman" w:hAnsi="Times New Roman"/>
          <w:sz w:val="28"/>
          <w:szCs w:val="28"/>
        </w:rPr>
        <w:t>мб, газонів, дерев, кущів)</w:t>
      </w:r>
      <w:r>
        <w:rPr>
          <w:rFonts w:cs="Times New Roman" w:ascii="Times New Roman" w:hAnsi="Times New Roman"/>
          <w:sz w:val="28"/>
          <w:szCs w:val="28"/>
          <w:lang w:val="uk-UA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збереження історико-культурної спадщини міста (рух транспорту погано впливав на технічний стан пам’яток архітектури місцевого та національного значення історичного ядра міста).   </w:t>
      </w:r>
    </w:p>
    <w:tbl>
      <w:tblPr>
        <w:tblW w:w="96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"/>
        <w:gridCol w:w="3451"/>
        <w:gridCol w:w="1367"/>
        <w:gridCol w:w="1245"/>
        <w:gridCol w:w="1590"/>
        <w:gridCol w:w="1670"/>
      </w:tblGrid>
      <w:tr>
        <w:trPr>
          <w:trHeight w:val="352" w:hRule="atLeast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№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Захід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201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2012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2014-2015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2019</w:t>
            </w:r>
          </w:p>
        </w:tc>
      </w:tr>
      <w:tr>
        <w:trPr>
          <w:trHeight w:val="169" w:hRule="atLeast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Кількість скарг 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фізичних та юридичних осіб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  <w:tr>
        <w:trPr>
          <w:trHeight w:val="540" w:hRule="atLeast"/>
        </w:trPr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пропозицій та схвальних відгуків фізичних та юридичних осіб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8</w:t>
            </w:r>
          </w:p>
        </w:tc>
      </w:tr>
    </w:tbl>
    <w:p>
      <w:pPr>
        <w:pStyle w:val="Normal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/>
        </w:rPr>
        <w:t xml:space="preserve">    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   </w:t>
      </w:r>
      <w:r>
        <w:rPr>
          <w:rFonts w:cs="Times New Roman" w:ascii="Times New Roman" w:hAnsi="Times New Roman"/>
          <w:bCs/>
          <w:sz w:val="28"/>
          <w:szCs w:val="28"/>
        </w:rPr>
        <w:t>У зв’язку з цим вважаємо за необхідне залишити зазначен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е</w:t>
      </w:r>
      <w:r>
        <w:rPr>
          <w:rFonts w:cs="Times New Roman" w:ascii="Times New Roman" w:hAnsi="Times New Roman"/>
          <w:bCs/>
          <w:sz w:val="28"/>
          <w:szCs w:val="28"/>
        </w:rPr>
        <w:t xml:space="preserve">  рішення без змін та провести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наступне </w:t>
      </w:r>
      <w:r>
        <w:rPr>
          <w:rFonts w:cs="Times New Roman" w:ascii="Times New Roman" w:hAnsi="Times New Roman"/>
          <w:bCs/>
          <w:sz w:val="28"/>
          <w:szCs w:val="28"/>
        </w:rPr>
        <w:t>періодичне відстеження результативності його дії у визначений законодавством термін.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 xml:space="preserve"> </w:t>
      </w:r>
    </w:p>
    <w:p>
      <w:pPr>
        <w:pStyle w:val="Style20"/>
        <w:spacing w:lineRule="auto" w:line="240"/>
        <w:ind w:left="75" w:right="0" w:hanging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bCs/>
          <w:sz w:val="28"/>
          <w:szCs w:val="28"/>
        </w:rPr>
        <w:t xml:space="preserve">Начальник </w:t>
      </w:r>
      <w:r>
        <w:rPr>
          <w:rFonts w:eastAsia="SimSun" w:cs="Arial"/>
          <w:bCs/>
          <w:color w:val="auto"/>
          <w:kern w:val="2"/>
          <w:sz w:val="28"/>
          <w:szCs w:val="28"/>
          <w:lang w:val="uk-UA" w:eastAsia="zh-CN" w:bidi="hi-IN"/>
        </w:rPr>
        <w:t xml:space="preserve">відділу архітектури та </w:t>
      </w:r>
    </w:p>
    <w:p>
      <w:pPr>
        <w:pStyle w:val="Normal"/>
        <w:jc w:val="both"/>
        <w:rPr>
          <w:rFonts w:eastAsia="SimSun" w:cs="Arial"/>
          <w:bCs/>
          <w:color w:val="auto"/>
          <w:kern w:val="2"/>
          <w:sz w:val="28"/>
          <w:szCs w:val="28"/>
          <w:lang w:val="uk-UA" w:eastAsia="zh-CN" w:bidi="hi-IN"/>
        </w:rPr>
      </w:pPr>
      <w:r>
        <w:rPr>
          <w:rFonts w:eastAsia="SimSun" w:cs="Arial"/>
          <w:bCs/>
          <w:color w:val="auto"/>
          <w:kern w:val="2"/>
          <w:sz w:val="28"/>
          <w:szCs w:val="28"/>
          <w:lang w:val="uk-UA" w:eastAsia="zh-CN" w:bidi="hi-IN"/>
        </w:rPr>
        <w:t xml:space="preserve">містобудування УМГ, </w:t>
      </w:r>
    </w:p>
    <w:p>
      <w:pPr>
        <w:pStyle w:val="Normal"/>
        <w:jc w:val="both"/>
        <w:rPr/>
      </w:pPr>
      <w:r>
        <w:rPr>
          <w:rFonts w:eastAsia="SimSun" w:cs="Arial"/>
          <w:bCs/>
          <w:color w:val="auto"/>
          <w:kern w:val="2"/>
          <w:sz w:val="28"/>
          <w:szCs w:val="28"/>
          <w:lang w:val="uk-UA" w:eastAsia="zh-CN" w:bidi="hi-IN"/>
        </w:rPr>
        <w:t>головний архітектор м.Мукачева</w:t>
        <w:tab/>
        <w:tab/>
        <w:tab/>
        <w:tab/>
        <w:tab/>
        <w:tab/>
        <w:t>І.Івановчик</w:t>
      </w:r>
    </w:p>
    <w:sectPr>
      <w:type w:val="nextPage"/>
      <w:pgSz w:w="11906" w:h="16838"/>
      <w:pgMar w:left="1701" w:right="567" w:header="0" w:top="39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tabs>
          <w:tab w:val="num" w:pos="945"/>
        </w:tabs>
        <w:ind w:left="945" w:hanging="645"/>
      </w:pPr>
      <w:rPr>
        <w:rFonts w:ascii="Times New Roman" w:hAnsi="Times New Roman" w:cs="Times New Roman" w:hint="default"/>
        <w:sz w:val="28"/>
        <w:szCs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8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  <w:sz w:val="28"/>
        <w:szCs w:val="28"/>
        <w:rFonts w:cs="Times New Roman"/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SimSun" w:cs="Arial"/>
      <w:color w:val="auto"/>
      <w:kern w:val="2"/>
      <w:sz w:val="24"/>
      <w:szCs w:val="24"/>
      <w:lang w:val="uk-UA" w:eastAsia="zh-CN" w:bidi="hi-IN"/>
    </w:rPr>
  </w:style>
  <w:style w:type="character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styleId="WW8Num2z0">
    <w:name w:val="WW8Num2z0"/>
    <w:qFormat/>
    <w:rPr>
      <w:rFonts w:ascii="Times New Roman" w:hAnsi="Times New Roman" w:cs="Times New Roman"/>
      <w:sz w:val="28"/>
      <w:szCs w:val="28"/>
      <w:lang w:val="uk-UA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4">
    <w:name w:val="Виділення жирним"/>
    <w:qFormat/>
    <w:rPr>
      <w:b/>
      <w:bCs/>
    </w:rPr>
  </w:style>
  <w:style w:type="character" w:styleId="Googqstidbitgoogqstidbit0googqstidbithilite">
    <w:name w:val="goog_qs-tidbit goog_qs-tidbit-0 goog_qs-tidbit-hilite"/>
    <w:qFormat/>
    <w:rPr/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Style20">
    <w:name w:val="Абзац списка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yle21">
    <w:name w:val="Вміст таблиці"/>
    <w:basedOn w:val="Normal"/>
    <w:qFormat/>
    <w:pPr>
      <w:suppressLineNumbers/>
    </w:pPr>
    <w:rPr/>
  </w:style>
  <w:style w:type="paragraph" w:styleId="Style22">
    <w:name w:val="Заголовок таблиці"/>
    <w:basedOn w:val="Style21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LibreOffice/6.4.0.3$Windows_X86_64 LibreOffice_project/b0a288ab3d2d4774cb44b62f04d5d28733ac6df8</Application>
  <Pages>2</Pages>
  <Words>434</Words>
  <Characters>2885</Characters>
  <CharactersWithSpaces>3321</CharactersWithSpaces>
  <Paragraphs>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2019-10-29T16:53:28Z</dcterms:created>
  <dc:creator/>
  <dc:description/>
  <dc:language>uk-UA</dc:language>
  <cp:lastModifiedBy/>
  <cp:lastPrinted>1995-11-21T17:41:00Z</cp:lastPrinted>
  <dcterms:modified xsi:type="dcterms:W3CDTF">2021-06-09T14:25:33Z</dcterms:modified>
  <cp:revision>5</cp:revision>
  <dc:subject/>
  <dc:title/>
</cp:coreProperties>
</file>