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eastAsia="WenQuanYi Micro Hei" w:cs="Times New Roman"/>
          <w:b/>
          <w:sz w:val="28"/>
          <w:szCs w:val="28"/>
        </w:rPr>
      </w:pPr>
      <w:r>
        <w:rPr>
          <w:rFonts w:eastAsia="WenQuanYi Micro Hei" w:cs="Times New Roman"/>
          <w:b/>
          <w:sz w:val="28"/>
          <w:szCs w:val="28"/>
        </w:rPr>
      </w:r>
    </w:p>
    <w:p>
      <w:pPr>
        <w:spacing/>
        <w:jc w:val="center"/>
        <w:rPr>
          <w:b/>
          <w:sz w:val="28"/>
        </w:rPr>
      </w:pPr>
      <w:r>
        <w:rPr>
          <w:b/>
          <w:sz w:val="28"/>
        </w:rPr>
        <w:t>ЗВІТ</w:t>
      </w:r>
    </w:p>
    <w:p>
      <w:pPr>
        <w:spacing/>
        <w:jc w:val="center"/>
        <w:rPr>
          <w:b/>
          <w:sz w:val="28"/>
        </w:rPr>
      </w:pPr>
      <w:r>
        <w:rPr>
          <w:b/>
          <w:sz w:val="28"/>
        </w:rPr>
        <w:t>про повторне відстеження результативності регуляторного акта</w:t>
      </w:r>
    </w:p>
    <w:p>
      <w:pPr>
        <w:spacing/>
        <w:jc w:val="both"/>
        <w:rPr>
          <w:rFonts w:eastAsia="WenQuanYi Micro Hei" w:cs="Times New Roman"/>
          <w:sz w:val="28"/>
          <w:szCs w:val="28"/>
        </w:rPr>
      </w:pPr>
      <w:r>
        <w:rPr>
          <w:rFonts w:eastAsia="WenQuanYi Micro Hei" w:cs="Times New Roman"/>
          <w:sz w:val="28"/>
          <w:szCs w:val="28"/>
        </w:rPr>
      </w:r>
    </w:p>
    <w:p>
      <w:pPr>
        <w:spacing/>
        <w:jc w:val="both"/>
        <w:rPr>
          <w:sz w:val="28"/>
        </w:rPr>
      </w:pPr>
      <w:r>
        <w:rPr>
          <w:b/>
          <w:sz w:val="28"/>
        </w:rPr>
        <w:t>Вид та назва регуляторного акта:</w:t>
      </w:r>
      <w:r>
        <w:rPr>
          <w:b/>
          <w:sz w:val="28"/>
        </w:rPr>
        <w:t xml:space="preserve"> </w:t>
      </w:r>
      <w:r>
        <w:rPr>
          <w:sz w:val="28"/>
        </w:rPr>
        <w:t>рішення виконавчого комітету Мукачівської міської ради від 19.05.2020р. №198«Про</w:t>
      </w:r>
      <w:r>
        <w:rPr>
          <w:sz w:val="28"/>
        </w:rPr>
        <w:t xml:space="preserve"> </w:t>
      </w:r>
      <w:r>
        <w:rPr>
          <w:sz w:val="28"/>
        </w:rPr>
        <w:t>затвердження Порядку проведення конкурсу із залучення підприємства (організації) для здійснення функцій робочого органу для організації проведення конкурсів на автобусних маршрутах загального користування в межах Мукачівської міської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територіаль</w:t>
      </w:r>
      <w:r>
        <w:rPr>
          <w:sz w:val="28"/>
        </w:rPr>
        <w:t xml:space="preserve">ної громади” (відповідно до рішення виконавчого комітету Мукачівської міської ради від 22.12.2020р. № 522 </w:t>
      </w:r>
      <w:r>
        <w:rPr>
          <w:sz w:val="28"/>
        </w:rPr>
        <w:t xml:space="preserve"> </w:t>
      </w:r>
      <w:r>
        <w:rPr>
          <w:sz w:val="28"/>
        </w:rPr>
        <w:t>«Про внесення змін до деяких рішень виконавчого комітету Мукачівської міської ради»).</w:t>
      </w:r>
    </w:p>
    <w:p>
      <w:pPr>
        <w:spacing/>
        <w:jc w:val="both"/>
        <w:rPr>
          <w:rFonts w:eastAsia="WenQuanYi Micro Hei" w:cs="Times New Roman"/>
          <w:sz w:val="28"/>
          <w:szCs w:val="28"/>
        </w:rPr>
      </w:pPr>
      <w:r>
        <w:rPr>
          <w:rFonts w:eastAsia="WenQuanYi Micro Hei" w:cs="Times New Roman"/>
          <w:sz w:val="28"/>
          <w:szCs w:val="28"/>
        </w:rPr>
      </w:r>
    </w:p>
    <w:p>
      <w:pPr>
        <w:spacing/>
        <w:jc w:val="both"/>
        <w:rPr>
          <w:sz w:val="28"/>
        </w:rPr>
      </w:pPr>
      <w:r>
        <w:rPr>
          <w:b/>
          <w:sz w:val="28"/>
        </w:rPr>
        <w:t>Назва виконавця заходів з відстеження:</w:t>
      </w:r>
      <w:r>
        <w:t xml:space="preserve"> </w:t>
      </w:r>
      <w:r>
        <w:rPr>
          <w:sz w:val="28"/>
        </w:rPr>
        <w:t>у</w:t>
      </w:r>
      <w:r>
        <w:rPr>
          <w:sz w:val="28"/>
        </w:rPr>
        <w:t>правління міського господарства Мукачівської міської ради.</w:t>
      </w:r>
    </w:p>
    <w:p>
      <w:pPr>
        <w:spacing/>
        <w:jc w:val="both"/>
        <w:rPr>
          <w:rFonts w:eastAsia="WenQuanYi Micro Hei" w:cs="Times New Roman"/>
          <w:sz w:val="28"/>
          <w:szCs w:val="28"/>
        </w:rPr>
      </w:pPr>
      <w:r>
        <w:rPr>
          <w:rFonts w:eastAsia="WenQuanYi Micro Hei" w:cs="Times New Roman"/>
          <w:sz w:val="28"/>
          <w:szCs w:val="28"/>
        </w:rPr>
      </w:r>
    </w:p>
    <w:p>
      <w:pPr>
        <w:spacing/>
        <w:jc w:val="both"/>
        <w:rPr>
          <w:b/>
          <w:sz w:val="28"/>
        </w:rPr>
      </w:pPr>
      <w:r>
        <w:rPr>
          <w:b/>
          <w:sz w:val="28"/>
        </w:rPr>
        <w:t>Цілі прийняття акта:</w:t>
      </w:r>
    </w:p>
    <w:p>
      <w:pPr>
        <w:ind w:firstLine="709"/>
        <w:spacing w:after="120"/>
        <w:jc w:val="both"/>
        <w:widowControl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solid" w:color="FFFFFF" tmshd="1684275456, 16777215, 16777215"/>
        <w:rPr>
          <w:rFonts w:cs="Times New Roman"/>
          <w:color w:val="000000"/>
          <w:sz w:val="28"/>
          <w:szCs w:val="28"/>
          <w:shd w:val="clear" w:fill="ffffff"/>
        </w:rPr>
      </w:pPr>
      <w:r>
        <w:rPr>
          <w:rFonts w:cs="Times New Roman"/>
          <w:color w:val="000000"/>
          <w:sz w:val="28"/>
          <w:szCs w:val="28"/>
          <w:shd w:val="clear" w:fill="ffffff"/>
        </w:rPr>
        <w:t>- забезпечення виконання вимог діючого законодавства в частині підготовки матеріалів до засідання конкурсного комітету з</w:t>
      </w:r>
      <w:r>
        <w:rPr>
          <w:rFonts w:cs="Times New Roman"/>
          <w:color w:val="000000"/>
          <w:sz w:val="28"/>
          <w:szCs w:val="28"/>
          <w:shd w:val="clear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fill="ffffff"/>
        </w:rPr>
        <w:t>визначення пасажирських перевізників на міських автобусних маршрутах загального користування на території Мукачівської міської об’єднаної територіальної громади.</w:t>
      </w:r>
    </w:p>
    <w:p>
      <w:pPr>
        <w:ind w:firstLine="709"/>
        <w:spacing w:after="120"/>
        <w:jc w:val="both"/>
        <w:widowControl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solid" w:color="FFFFFF" tmshd="1684275456, 16777215, 16777215"/>
        <w:rPr>
          <w:rFonts w:cs="Times New Roman"/>
          <w:color w:val="000000"/>
          <w:sz w:val="28"/>
          <w:szCs w:val="28"/>
          <w:shd w:val="clear" w:fill="ffffff"/>
        </w:rPr>
      </w:pPr>
      <w:r>
        <w:rPr>
          <w:rFonts w:cs="Times New Roman"/>
          <w:color w:val="000000"/>
          <w:sz w:val="28"/>
          <w:szCs w:val="28"/>
          <w:shd w:val="clear" w:fill="ffffff"/>
        </w:rPr>
        <w:t>- залучення кваліфікованих фахівців підприємства – робочого органу з метою забезпечення якісної підготовки та проведення конкурсу з перевезення пасажирів на автобусних маршрутах загального користування на території Мукачівської міської об’єднаної територіальної громади;</w:t>
      </w:r>
      <w:r>
        <w:rPr>
          <w:rFonts w:cs="Times New Roman"/>
          <w:color w:val="000000"/>
          <w:sz w:val="28"/>
          <w:szCs w:val="28"/>
          <w:shd w:val="clear" w:fill="ffffff"/>
        </w:rPr>
        <w:t xml:space="preserve"> </w:t>
      </w:r>
    </w:p>
    <w:p>
      <w:pPr>
        <w:ind w:firstLine="709"/>
        <w:spacing w:after="120"/>
        <w:jc w:val="both"/>
        <w:widowControl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solid" w:color="FFFFFF" tmshd="1684275456, 16777215, 16777215"/>
        <w:rPr>
          <w:rFonts w:cs="Times New Roman"/>
          <w:color w:val="000000"/>
          <w:sz w:val="28"/>
          <w:szCs w:val="28"/>
          <w:shd w:val="clear" w:fill="ffffff"/>
        </w:rPr>
      </w:pPr>
      <w:r>
        <w:rPr>
          <w:rFonts w:cs="Times New Roman"/>
          <w:color w:val="000000"/>
          <w:sz w:val="28"/>
          <w:szCs w:val="28"/>
          <w:shd w:val="clear" w:fill="ffffff"/>
        </w:rPr>
        <w:t>- зменшення</w:t>
      </w:r>
      <w:r>
        <w:rPr>
          <w:rFonts w:cs="Times New Roman"/>
          <w:color w:val="000000"/>
          <w:sz w:val="28"/>
          <w:szCs w:val="28"/>
          <w:shd w:val="clear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fill="ffffff"/>
        </w:rPr>
        <w:t>передумов для корупційних дій;</w:t>
      </w:r>
      <w:r>
        <w:rPr>
          <w:rFonts w:cs="Times New Roman"/>
          <w:color w:val="000000"/>
          <w:sz w:val="28"/>
          <w:szCs w:val="28"/>
          <w:shd w:val="clear" w:fill="ffffff"/>
        </w:rPr>
        <w:t xml:space="preserve"> </w:t>
      </w:r>
    </w:p>
    <w:p>
      <w:pPr>
        <w:ind w:firstLine="709"/>
        <w:spacing w:after="120"/>
        <w:jc w:val="both"/>
        <w:widowControl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solid" w:color="FFFFFF" tmshd="1684275456, 16777215, 16777215"/>
        <w:rPr>
          <w:rFonts w:cs="Times New Roman"/>
          <w:color w:val="000000"/>
          <w:sz w:val="28"/>
          <w:szCs w:val="28"/>
          <w:shd w:val="clear" w:fill="ffffff"/>
        </w:rPr>
      </w:pPr>
      <w:r>
        <w:rPr>
          <w:rFonts w:cs="Times New Roman"/>
          <w:color w:val="000000"/>
          <w:sz w:val="28"/>
          <w:szCs w:val="28"/>
          <w:shd w:val="clear" w:fill="ffffff"/>
        </w:rPr>
        <w:t>- задоволення потреб громадян щодо отримання ними необхідних та якісних автотранспортних послуг;</w:t>
      </w:r>
    </w:p>
    <w:p>
      <w:pPr>
        <w:ind w:firstLine="706"/>
        <w:spacing/>
        <w:jc w:val="both"/>
        <w:widowControl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solid" w:color="FFFFFF" tmshd="1684275456, 16777215, 16777215"/>
        <w:rPr>
          <w:rFonts w:cs="Times New Roman"/>
          <w:color w:val="000000"/>
          <w:sz w:val="28"/>
          <w:szCs w:val="28"/>
          <w:shd w:val="clear" w:fill="ffffff"/>
        </w:rPr>
      </w:pPr>
      <w:r>
        <w:rPr>
          <w:rFonts w:cs="Times New Roman"/>
          <w:color w:val="000000"/>
          <w:sz w:val="28"/>
          <w:szCs w:val="28"/>
          <w:shd w:val="clear" w:fill="ffffff"/>
        </w:rPr>
        <w:t xml:space="preserve">- </w:t>
      </w:r>
      <w:r>
        <w:rPr>
          <w:rFonts w:cs="Times New Roman"/>
          <w:color w:val="000000"/>
          <w:sz w:val="28"/>
          <w:szCs w:val="28"/>
          <w:shd w:val="clear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fill="ffffff"/>
        </w:rPr>
        <w:t>визначення шляхом конкурсного відбору робочого органу по підготовці матеріалів для проведення конкурсу серед перевізників та розробці паспортів автобусних маршрутів.</w:t>
      </w:r>
    </w:p>
    <w:p>
      <w:pPr>
        <w:spacing/>
        <w:jc w:val="both"/>
        <w:rPr>
          <w:rFonts w:eastAsia="WenQuanYi Micro Hei" w:cs="Times New Roman"/>
          <w:sz w:val="28"/>
          <w:szCs w:val="28"/>
        </w:rPr>
      </w:pPr>
      <w:r>
        <w:rPr>
          <w:rFonts w:eastAsia="WenQuanYi Micro Hei" w:cs="Times New Roman"/>
          <w:sz w:val="28"/>
          <w:szCs w:val="28"/>
        </w:rPr>
      </w:r>
    </w:p>
    <w:p>
      <w:pPr>
        <w:spacing/>
        <w:jc w:val="both"/>
        <w:rPr>
          <w:sz w:val="28"/>
        </w:rPr>
      </w:pPr>
      <w:r>
        <w:rPr>
          <w:b/>
          <w:sz w:val="28"/>
        </w:rPr>
        <w:t>Строк виконання</w:t>
      </w:r>
      <w:r>
        <w:rPr>
          <w:b/>
          <w:sz w:val="28"/>
        </w:rPr>
        <w:t xml:space="preserve"> </w:t>
      </w:r>
      <w:r>
        <w:rPr>
          <w:b/>
          <w:sz w:val="28"/>
        </w:rPr>
        <w:t>заходів з відстеження:</w:t>
      </w:r>
      <w:r>
        <w:t xml:space="preserve"> </w:t>
      </w:r>
      <w:r>
        <w:t>в</w:t>
      </w:r>
      <w:r>
        <w:rPr>
          <w:sz w:val="28"/>
        </w:rPr>
        <w:t>ідстеження проводилось з 01.06.2021р. по 30.06.2021 р.</w:t>
      </w:r>
    </w:p>
    <w:p>
      <w:pPr>
        <w:spacing/>
        <w:jc w:val="both"/>
        <w:rPr>
          <w:rFonts w:eastAsia="WenQuanYi Micro Hei" w:cs="Times New Roman"/>
          <w:sz w:val="28"/>
          <w:szCs w:val="28"/>
        </w:rPr>
      </w:pPr>
      <w:r>
        <w:rPr>
          <w:rFonts w:eastAsia="WenQuanYi Micro Hei" w:cs="Times New Roman"/>
          <w:sz w:val="28"/>
          <w:szCs w:val="28"/>
        </w:rPr>
      </w:r>
    </w:p>
    <w:p>
      <w:pPr>
        <w:spacing/>
        <w:jc w:val="both"/>
        <w:rPr>
          <w:sz w:val="28"/>
        </w:rPr>
      </w:pPr>
      <w:r>
        <w:rPr>
          <w:b/>
          <w:sz w:val="28"/>
        </w:rPr>
        <w:t>Тип відстеження:</w:t>
      </w:r>
      <w:r>
        <w:t xml:space="preserve"> </w:t>
      </w:r>
      <w:r>
        <w:rPr>
          <w:sz w:val="28"/>
        </w:rPr>
        <w:t>повторне</w:t>
      </w:r>
      <w:r>
        <w:rPr>
          <w:sz w:val="28"/>
        </w:rPr>
        <w:t xml:space="preserve"> </w:t>
      </w:r>
    </w:p>
    <w:p>
      <w:pPr>
        <w:spacing/>
        <w:jc w:val="both"/>
        <w:rPr>
          <w:rFonts w:eastAsia="WenQuanYi Micro Hei" w:cs="Times New Roman"/>
          <w:sz w:val="28"/>
          <w:szCs w:val="28"/>
        </w:rPr>
      </w:pPr>
      <w:r>
        <w:rPr>
          <w:rFonts w:eastAsia="WenQuanYi Micro Hei" w:cs="Times New Roman"/>
          <w:sz w:val="28"/>
          <w:szCs w:val="28"/>
        </w:rPr>
      </w:r>
    </w:p>
    <w:p>
      <w:pPr>
        <w:spacing/>
        <w:jc w:val="both"/>
        <w:rPr>
          <w:sz w:val="28"/>
        </w:rPr>
      </w:pPr>
      <w:r>
        <w:rPr>
          <w:b/>
          <w:sz w:val="28"/>
        </w:rPr>
        <w:t>Методи одержання результатів відстеження</w:t>
      </w:r>
      <w:r>
        <w:rPr>
          <w:sz w:val="28"/>
        </w:rPr>
        <w:t>: під час відстеження результативності регуляторного акта були</w:t>
      </w:r>
      <w:r>
        <w:rPr>
          <w:sz w:val="28"/>
        </w:rPr>
        <w:t xml:space="preserve"> </w:t>
      </w:r>
      <w:r>
        <w:rPr>
          <w:sz w:val="28"/>
        </w:rPr>
        <w:t>використані статистичні методи одержання резу</w:t>
      </w:r>
      <w:r>
        <w:rPr>
          <w:sz w:val="28"/>
        </w:rPr>
        <w:t>льтатів відстеження.</w:t>
      </w:r>
    </w:p>
    <w:p>
      <w:pPr>
        <w:spacing/>
        <w:jc w:val="both"/>
        <w:rPr>
          <w:rFonts w:eastAsia="WenQuanYi Micro Hei" w:cs="Times New Roman"/>
          <w:sz w:val="28"/>
          <w:szCs w:val="28"/>
        </w:rPr>
      </w:pPr>
      <w:r>
        <w:rPr>
          <w:rFonts w:eastAsia="WenQuanYi Micro Hei" w:cs="Times New Roman"/>
          <w:sz w:val="28"/>
          <w:szCs w:val="28"/>
        </w:rPr>
      </w:r>
    </w:p>
    <w:p>
      <w:pPr>
        <w:ind w:firstLine="709"/>
        <w:spacing w:after="120"/>
        <w:jc w:val="both"/>
        <w:widowControl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solid" w:color="FFFFFF" tmshd="1684275456, 16777215, 16777215"/>
        <w:rPr>
          <w:color w:val="000000"/>
          <w:sz w:val="28"/>
          <w:shd w:val="clear" w:fill="ffffff"/>
        </w:rPr>
      </w:pPr>
      <w:r>
        <w:rPr>
          <w:b/>
          <w:sz w:val="28"/>
          <w:shd w:val="clear" w:fill="ffffff"/>
        </w:rPr>
        <w:t>Дані та припущення, на основі яких відстежувалася результативність, а також способи одержання даних:</w:t>
      </w:r>
      <w:r>
        <w:rPr>
          <w:color w:val="000000"/>
          <w:sz w:val="28"/>
          <w:shd w:val="clear" w:fill="ffffff"/>
        </w:rPr>
        <w:t xml:space="preserve"> </w:t>
      </w:r>
      <w:r>
        <w:rPr>
          <w:color w:val="000000"/>
          <w:sz w:val="28"/>
          <w:shd w:val="clear" w:fill="ffffff"/>
        </w:rPr>
        <w:t xml:space="preserve">відстеження результативності дії зазначеного регуляторного акта, поводилося за показниками, які безпосередньо пов’язані з його </w:t>
      </w:r>
      <w:r>
        <w:rPr>
          <w:color w:val="000000"/>
          <w:sz w:val="28"/>
          <w:shd w:val="clear" w:fill="ffffff"/>
        </w:rPr>
        <w:t xml:space="preserve"> </w:t>
      </w:r>
      <w:r>
        <w:rPr>
          <w:color w:val="000000"/>
          <w:sz w:val="28"/>
          <w:shd w:val="clear" w:fill="ffffff"/>
        </w:rPr>
        <w:t>цілями, а саме:</w:t>
      </w:r>
    </w:p>
    <w:p>
      <w:pPr>
        <w:spacing/>
        <w:jc w:val="both"/>
        <w:widowControl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solid" w:color="FFFFFF" tmshd="1684275456, 16777215, 16777215"/>
        <w:rPr>
          <w:rFonts w:cs="Times New Roman"/>
          <w:color w:val="000000"/>
          <w:sz w:val="28"/>
          <w:szCs w:val="28"/>
          <w:shd w:val="clear" w:fill="ffffff"/>
        </w:rPr>
      </w:pPr>
      <w:r>
        <w:rPr>
          <w:rFonts w:cs="Times New Roman"/>
          <w:color w:val="000000"/>
          <w:sz w:val="28"/>
          <w:szCs w:val="28"/>
          <w:shd w:val="clear" w:fill="ffffff"/>
        </w:rPr>
        <w:t>- кількість суб’єктів господарювання на яких поширюється дія акта;</w:t>
      </w:r>
    </w:p>
    <w:p>
      <w:pPr>
        <w:spacing/>
        <w:jc w:val="both"/>
        <w:widowControl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solid" w:color="FFFFFF" tmshd="1684275456, 16777215, 16777215"/>
        <w:rPr>
          <w:rFonts w:cs="Times New Roman"/>
          <w:color w:val="000000"/>
          <w:sz w:val="28"/>
          <w:szCs w:val="28"/>
          <w:shd w:val="clear" w:fill="ffffff"/>
        </w:rPr>
      </w:pPr>
      <w:r>
        <w:rPr>
          <w:rFonts w:cs="Times New Roman"/>
          <w:color w:val="000000"/>
          <w:sz w:val="28"/>
          <w:szCs w:val="28"/>
          <w:shd w:val="clear" w:fill="ffffff"/>
        </w:rPr>
        <w:t>- кількість звернень громадян пов’язаних з незадовільною якістю послуг з пасажирських перевезень;</w:t>
      </w:r>
    </w:p>
    <w:p>
      <w:pPr>
        <w:spacing/>
        <w:jc w:val="both"/>
        <w:widowControl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solid" w:color="FFFFFF" tmshd="1684275456, 16777215, 16777215"/>
        <w:rPr>
          <w:color w:val="000000"/>
          <w:sz w:val="28"/>
          <w:shd w:val="clear" w:fill="ffffff"/>
        </w:rPr>
      </w:pPr>
      <w:r>
        <w:rPr>
          <w:color w:val="000000"/>
          <w:sz w:val="28"/>
          <w:shd w:val="clear" w:fill="ffffff"/>
        </w:rPr>
        <w:t>- р</w:t>
      </w:r>
      <w:r>
        <w:rPr>
          <w:color w:val="000000"/>
          <w:sz w:val="28"/>
          <w:shd w:val="clear" w:fill="ffffff"/>
        </w:rPr>
        <w:t>івень поінформованості суб’єктів господарювання/фізичних</w:t>
      </w:r>
      <w:r>
        <w:rPr>
          <w:color w:val="000000"/>
          <w:sz w:val="28"/>
          <w:shd w:val="clear" w:fill="ffffff"/>
        </w:rPr>
        <w:t xml:space="preserve"> </w:t>
      </w:r>
      <w:r>
        <w:rPr>
          <w:color w:val="000000"/>
          <w:sz w:val="28"/>
          <w:shd w:val="clear" w:fill="ffffff"/>
        </w:rPr>
        <w:t>осіб з основних положень акта;</w:t>
      </w:r>
    </w:p>
    <w:p>
      <w:pPr>
        <w:spacing/>
        <w:jc w:val="both"/>
        <w:widowControl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solid" w:color="FFFFFF" tmshd="1684275456, 16777215, 16777215"/>
        <w:rPr>
          <w:color w:val="000000"/>
          <w:sz w:val="20"/>
          <w:shd w:val="clear" w:fill="ffffff"/>
        </w:rPr>
      </w:pPr>
      <w:r>
        <w:rPr>
          <w:color w:val="000000"/>
          <w:sz w:val="28"/>
          <w:shd w:val="clear" w:fill="ffffff"/>
        </w:rPr>
        <w:t>- к</w:t>
      </w:r>
      <w:r>
        <w:rPr>
          <w:color w:val="000000"/>
          <w:sz w:val="28"/>
          <w:shd w:val="clear" w:fill="ffffff"/>
        </w:rPr>
        <w:t>ількість скарг стосовно діяльності робочого органу.</w:t>
      </w:r>
      <w:r>
        <w:rPr>
          <w:color w:val="000000"/>
          <w:sz w:val="20"/>
          <w:shd w:val="clear" w:fill="ffffff"/>
        </w:rPr>
        <w:t> </w:t>
      </w:r>
    </w:p>
    <w:p>
      <w:pPr>
        <w:spacing/>
        <w:jc w:val="both"/>
        <w:rPr>
          <w:b/>
          <w:sz w:val="28"/>
        </w:rPr>
      </w:pPr>
      <w:r>
        <w:rPr>
          <w:b/>
          <w:sz w:val="28"/>
        </w:rPr>
        <w:t>Кількісні та якісні</w:t>
      </w:r>
      <w:r>
        <w:rPr>
          <w:b/>
          <w:sz w:val="28"/>
        </w:rPr>
        <w:t xml:space="preserve"> </w:t>
      </w:r>
      <w:r>
        <w:rPr>
          <w:b/>
          <w:sz w:val="28"/>
        </w:rPr>
        <w:t>значення показників результативності акта:</w:t>
      </w:r>
    </w:p>
    <w:tbl>
      <w:tblPr>
        <w:jc w:val="left"/>
        <w:tblInd w:w="-24" w:type="dxa"/>
        <w:tblW w:w="9022" w:type="dxa"/>
      </w:tblPr>
      <w:tblGrid>
        <w:gridCol w:w="2977"/>
        <w:gridCol w:w="2855"/>
        <w:gridCol w:w="3190"/>
      </w:tblGrid>
      <w:tr>
        <w:trPr>
          <w:trHeight w:val="1029" w:hRule="atLeast"/>
        </w:trPr>
        <w:tc>
          <w:tcPr>
            <w:tcW w:w="297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25811180" protected="0"/>
          </w:tcPr>
          <w:p>
            <w:pPr>
              <w:spacing/>
              <w:jc w:val="both"/>
              <w:rPr>
                <w:color w:val="000000"/>
                <w:sz w:val="28"/>
                <w:shd w:val="clear" w:fill="ffffff"/>
              </w:rPr>
            </w:pPr>
            <w:r>
              <w:rPr>
                <w:color w:val="000000"/>
                <w:sz w:val="28"/>
                <w:shd w:val="clear" w:fill="ffffff"/>
              </w:rPr>
              <w:t>Показники результативності</w:t>
            </w:r>
          </w:p>
        </w:tc>
        <w:tc>
          <w:tcPr>
            <w:tcW w:w="2855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5811180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  <w:t>Базове відстеження</w:t>
            </w:r>
          </w:p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  <w:t>за період 01.07.2020 р. по 01.08.2020 р.</w:t>
            </w:r>
          </w:p>
        </w:tc>
        <w:tc>
          <w:tcPr>
            <w:tcW w:w="3190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5811180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  <w:t>Повторне відстеження</w:t>
            </w:r>
          </w:p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  <w:t>за період 01</w:t>
            </w:r>
            <w:r>
              <w:rPr>
                <w:sz w:val="28"/>
              </w:rPr>
              <w:t>.06.2021 р. по 30.06.2021 р.</w:t>
            </w:r>
          </w:p>
        </w:tc>
      </w:tr>
      <w:tr>
        <w:trPr>
          <w:trHeight w:val="609" w:hRule="atLeast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25811180" protected="0"/>
          </w:tcPr>
          <w:p>
            <w:pPr>
              <w:spacing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Кількість суб’єктів господарювання на яких поширюється дія </w:t>
            </w:r>
            <w:r>
              <w:rPr>
                <w:color w:val="000000"/>
                <w:sz w:val="28"/>
              </w:rPr>
              <w:t>акта</w:t>
            </w:r>
          </w:p>
        </w:tc>
        <w:tc>
          <w:tcPr>
            <w:tcW w:w="2855" w:type="dxa"/>
            <w:vAlign w:val="center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5811180" protected="0"/>
          </w:tcPr>
          <w:p>
            <w:pPr>
              <w:spacing/>
              <w:jc w:val="center"/>
              <w:rPr>
                <w:color w:val="000000"/>
                <w:sz w:val="28"/>
                <w:shd w:val="clear" w:fill="ffffff"/>
              </w:rPr>
            </w:pPr>
            <w:r>
              <w:rPr>
                <w:color w:val="000000"/>
                <w:sz w:val="28"/>
                <w:shd w:val="clear" w:fill="ffffff"/>
              </w:rPr>
              <w:t>12</w:t>
            </w:r>
          </w:p>
        </w:tc>
        <w:tc>
          <w:tcPr>
            <w:tcW w:w="3190" w:type="dxa"/>
            <w:vAlign w:val="center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5811180" protected="0"/>
          </w:tcPr>
          <w:p>
            <w:pPr>
              <w:spacing/>
              <w:jc w:val="center"/>
              <w:rPr>
                <w:color w:val="000000"/>
                <w:sz w:val="28"/>
                <w:shd w:val="clear" w:fill="ffffff"/>
              </w:rPr>
            </w:pPr>
            <w:r>
              <w:rPr>
                <w:color w:val="000000"/>
                <w:sz w:val="28"/>
                <w:shd w:val="clear" w:fill="ffffff"/>
              </w:rPr>
              <w:t>9</w:t>
            </w:r>
          </w:p>
        </w:tc>
      </w:tr>
      <w:tr>
        <w:trPr>
          <w:trHeight w:val="802" w:hRule="atLeast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25811180" protected="0"/>
          </w:tcPr>
          <w:p>
            <w:pPr>
              <w:spacing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Кількість звернень громадян пов’язаних з незадовільною якістю послуг з пасажирських перевезень</w:t>
            </w:r>
          </w:p>
        </w:tc>
        <w:tc>
          <w:tcPr>
            <w:tcW w:w="2855" w:type="dxa"/>
            <w:vAlign w:val="center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5811180" protected="0"/>
          </w:tcPr>
          <w:p>
            <w:pPr>
              <w:spacing/>
              <w:jc w:val="center"/>
              <w:rPr>
                <w:color w:val="000000"/>
                <w:sz w:val="28"/>
                <w:shd w:val="clear" w:fill="ffffff"/>
              </w:rPr>
            </w:pPr>
            <w:r>
              <w:rPr>
                <w:color w:val="000000"/>
                <w:sz w:val="28"/>
                <w:shd w:val="clear" w:fill="ffffff"/>
              </w:rPr>
              <w:t>0</w:t>
            </w:r>
          </w:p>
        </w:tc>
        <w:tc>
          <w:tcPr>
            <w:tcW w:w="3190" w:type="dxa"/>
            <w:vAlign w:val="center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5811180" protected="0"/>
          </w:tcPr>
          <w:p>
            <w:pPr>
              <w:spacing/>
              <w:jc w:val="center"/>
              <w:rPr>
                <w:color w:val="000000"/>
                <w:sz w:val="28"/>
                <w:shd w:val="clear" w:fill="ffffff"/>
              </w:rPr>
            </w:pPr>
            <w:r>
              <w:rPr>
                <w:color w:val="000000"/>
                <w:sz w:val="28"/>
                <w:shd w:val="clear" w:fill="ffffff"/>
              </w:rPr>
              <w:t>1</w:t>
            </w:r>
          </w:p>
        </w:tc>
      </w:tr>
      <w:tr>
        <w:trPr>
          <w:trHeight w:val="802" w:hRule="atLeast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25811180" protected="0"/>
          </w:tcPr>
          <w:p>
            <w:pPr>
              <w:spacing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Рівень поінформованості суб’єктів господарювання/фізичних осіб з основних положень акта</w:t>
            </w:r>
          </w:p>
        </w:tc>
        <w:tc>
          <w:tcPr>
            <w:tcW w:w="2855" w:type="dxa"/>
            <w:vAlign w:val="center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5811180" protected="0"/>
          </w:tcPr>
          <w:p>
            <w:pPr>
              <w:spacing/>
              <w:jc w:val="center"/>
              <w:rPr>
                <w:color w:val="000000"/>
                <w:sz w:val="28"/>
                <w:shd w:val="clear" w:fill="ffffff"/>
              </w:rPr>
            </w:pPr>
            <w:r>
              <w:rPr>
                <w:color w:val="000000"/>
                <w:sz w:val="28"/>
                <w:shd w:val="clear" w:fill="ffffff"/>
              </w:rPr>
              <w:t>100%</w:t>
            </w:r>
          </w:p>
        </w:tc>
        <w:tc>
          <w:tcPr>
            <w:tcW w:w="3190" w:type="dxa"/>
            <w:vAlign w:val="center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5811180" protected="0"/>
          </w:tcPr>
          <w:p>
            <w:pPr>
              <w:spacing/>
              <w:jc w:val="center"/>
              <w:rPr>
                <w:color w:val="000000"/>
                <w:sz w:val="28"/>
                <w:shd w:val="clear" w:fill="ffffff"/>
              </w:rPr>
            </w:pPr>
            <w:r>
              <w:rPr>
                <w:color w:val="000000"/>
                <w:sz w:val="28"/>
                <w:shd w:val="clear" w:fill="ffffff"/>
              </w:rPr>
              <w:t>100%</w:t>
            </w:r>
          </w:p>
        </w:tc>
      </w:tr>
      <w:tr>
        <w:trPr>
          <w:trHeight w:val="802" w:hRule="atLeast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25811180" protected="0"/>
          </w:tcPr>
          <w:p>
            <w:pPr>
              <w:spacing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Кількість скарг стосовно діяльності </w:t>
            </w:r>
            <w:r>
              <w:rPr>
                <w:color w:val="000000"/>
                <w:sz w:val="28"/>
              </w:rPr>
              <w:t>робочого органу</w:t>
            </w:r>
          </w:p>
        </w:tc>
        <w:tc>
          <w:tcPr>
            <w:tcW w:w="2855" w:type="dxa"/>
            <w:vAlign w:val="center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5811180" protected="0"/>
          </w:tcPr>
          <w:p>
            <w:pPr>
              <w:spacing/>
              <w:jc w:val="center"/>
              <w:pBdr>
                <w:top w:val="nil" w:sz="0" w:space="0" w:color="000000" tmln="20, 20, 20, 0"/>
                <w:left w:val="nil" w:sz="0" w:space="0" w:color="000000" tmln="20, 20, 20, 0"/>
                <w:bottom w:val="nil" w:sz="0" w:space="0" w:color="000000" tmln="20, 20, 20, 0"/>
                <w:right w:val="nil" w:sz="0" w:space="0" w:color="000000" tmln="20, 20, 20, 0"/>
                <w:between w:val="nil" w:sz="0" w:space="0" w:color="000000" tmln="20, 20, 20, 0"/>
              </w:pBdr>
              <w:shd w:val="solid" w:color="FFFFFF" tmshd="1684275456, 16777215, 16777215"/>
              <w:rPr>
                <w:rFonts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fill="ffffff"/>
              </w:rPr>
              <w:t>0</w:t>
            </w:r>
          </w:p>
        </w:tc>
        <w:tc>
          <w:tcPr>
            <w:tcW w:w="3190" w:type="dxa"/>
            <w:vAlign w:val="center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25811180" protected="0"/>
          </w:tcPr>
          <w:p>
            <w:pPr>
              <w:spacing/>
              <w:jc w:val="center"/>
              <w:pBdr>
                <w:top w:val="nil" w:sz="0" w:space="0" w:color="000000" tmln="20, 20, 20, 0"/>
                <w:left w:val="nil" w:sz="0" w:space="0" w:color="000000" tmln="20, 20, 20, 0"/>
                <w:bottom w:val="nil" w:sz="0" w:space="0" w:color="000000" tmln="20, 20, 20, 0"/>
                <w:right w:val="nil" w:sz="0" w:space="0" w:color="000000" tmln="20, 20, 20, 0"/>
                <w:between w:val="nil" w:sz="0" w:space="0" w:color="000000" tmln="20, 20, 20, 0"/>
              </w:pBdr>
              <w:shd w:val="solid" w:color="FFFFFF" tmshd="1684275456, 16777215, 16777215"/>
              <w:rPr>
                <w:rFonts w:cs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fill="ffffff"/>
              </w:rPr>
              <w:t>0</w:t>
            </w:r>
          </w:p>
        </w:tc>
      </w:tr>
    </w:tbl>
    <w:p>
      <w:pPr>
        <w:ind w:firstLine="709"/>
        <w:spacing w:line="276" w:lineRule="auto"/>
        <w:jc w:val="both"/>
        <w:rPr>
          <w:rFonts w:eastAsia="WenQuanYi Micro Hei" w:cs="Times New Roman"/>
          <w:b/>
          <w:sz w:val="28"/>
          <w:szCs w:val="28"/>
        </w:rPr>
      </w:pPr>
      <w:r>
        <w:rPr>
          <w:rFonts w:eastAsia="WenQuanYi Micro Hei" w:cs="Times New Roman"/>
          <w:b/>
          <w:sz w:val="28"/>
          <w:szCs w:val="28"/>
        </w:rPr>
      </w:r>
    </w:p>
    <w:p>
      <w:pPr>
        <w:spacing w:line="276" w:lineRule="auto"/>
        <w:jc w:val="both"/>
        <w:rPr>
          <w:sz w:val="28"/>
        </w:rPr>
      </w:pPr>
      <w:r>
        <w:rPr>
          <w:b/>
          <w:sz w:val="28"/>
        </w:rPr>
        <w:t>Оцінка результатів реалізації регуляторного акта та ступеня досягнення визначених цілей:</w:t>
      </w:r>
      <w:r>
        <w:t xml:space="preserve"> </w:t>
      </w:r>
      <w:r>
        <w:rPr>
          <w:sz w:val="28"/>
        </w:rPr>
        <w:t>проведено повторне відстеження.</w:t>
      </w:r>
    </w:p>
    <w:p>
      <w:pPr>
        <w:ind w:firstLine="706"/>
        <w:spacing w:line="276" w:lineRule="auto"/>
        <w:jc w:val="both"/>
        <w:rPr>
          <w:rFonts w:eastAsia="WenQuanYi Micro Hei" w:cs="Times New Roman"/>
          <w:sz w:val="28"/>
          <w:szCs w:val="28"/>
        </w:rPr>
      </w:pPr>
      <w:r>
        <w:rPr>
          <w:rFonts w:eastAsia="WenQuanYi Micro Hei" w:cs="Times New Roman"/>
          <w:sz w:val="28"/>
          <w:szCs w:val="28"/>
        </w:rPr>
        <w:t>Проведено повторне відстеження регуляторного акта. За результатами повторного відстеження результативності регуляторного акта пропонується залишити без змін.</w:t>
      </w:r>
    </w:p>
    <w:p>
      <w:pPr>
        <w:spacing/>
        <w:jc w:val="both"/>
        <w:rPr>
          <w:rFonts w:eastAsia="WenQuanYi Micro Hei" w:cs="Times New Roman"/>
          <w:sz w:val="28"/>
          <w:szCs w:val="28"/>
        </w:rPr>
      </w:pPr>
      <w:r>
        <w:rPr>
          <w:rFonts w:eastAsia="WenQuanYi Micro Hei" w:cs="Times New Roman"/>
          <w:sz w:val="28"/>
          <w:szCs w:val="28"/>
        </w:rPr>
      </w:r>
    </w:p>
    <w:p>
      <w:pPr>
        <w:spacing/>
        <w:jc w:val="both"/>
        <w:rPr>
          <w:rFonts w:eastAsia="WenQuanYi Micro Hei" w:cs="Times New Roman"/>
          <w:sz w:val="28"/>
          <w:szCs w:val="28"/>
        </w:rPr>
      </w:pPr>
      <w:r>
        <w:rPr>
          <w:rFonts w:eastAsia="WenQuanYi Micro Hei" w:cs="Times New Roman"/>
          <w:sz w:val="28"/>
          <w:szCs w:val="28"/>
        </w:rPr>
      </w:r>
    </w:p>
    <w:p>
      <w:pPr>
        <w:spacing/>
        <w:jc w:val="both"/>
        <w:rPr>
          <w:b/>
          <w:sz w:val="28"/>
        </w:rPr>
      </w:pPr>
      <w:r>
        <w:rPr>
          <w:b/>
          <w:sz w:val="28"/>
        </w:rPr>
        <w:t xml:space="preserve">Начальник </w:t>
      </w:r>
      <w:r>
        <w:rPr>
          <w:b/>
          <w:sz w:val="28"/>
        </w:rPr>
        <w:t xml:space="preserve"> </w:t>
      </w:r>
      <w:r>
        <w:rPr>
          <w:b/>
          <w:sz w:val="28"/>
        </w:rPr>
        <w:t>УМГ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>А.БЛІНОВ</w:t>
      </w:r>
    </w:p>
    <w:p>
      <w:pPr>
        <w:spacing/>
        <w:jc w:val="both"/>
      </w:pPr>
      <w:r/>
    </w:p>
    <w:p>
      <w:pPr>
        <w:pStyle w:val="Standard"/>
        <w:spacing/>
        <w:jc w:val="both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footerReference w:type="default" r:id="rId7"/>
      <w:type w:val="continuous"/>
      <w:pgSz w:h="16838" w:w="11906"/>
      <w:pgMar w:left="1701" w:top="708" w:right="794" w:bottom="119" w:footer="119"/>
      <w:paperSrc w:first="0" w:other="0"/>
      <w:tmGutter w:val="1"/>
      <w:mirrorMargins w:val="0"/>
      <w:tmSection w:h="-1">
        <w:tmFooter w:id="0" w:h="675" w:left="1701" w:right="794" w:top="0" w:bottom="0" edge="119" text="0">
          <w:shd w:val="none"/>
        </w:tmFooter>
      </w:tmSection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Andale Sans UI"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default"/>
  </w:font>
  <w:font w:name="Liberation Serif">
    <w:panose1 w:val="02020603050405020304"/>
    <w:charset w:val="cc"/>
    <w:family w:val="roman"/>
    <w:pitch w:val="default"/>
  </w:font>
  <w:font w:name="Droid Sans Fallback">
    <w:panose1 w:val="020B0604020202020204"/>
    <w:charset w:val="00"/>
    <w:family w:val="auto"/>
    <w:pitch w:val="default"/>
  </w:font>
  <w:font w:name="Mangal">
    <w:panose1 w:val="02020603050405020304"/>
    <w:charset w:val="00"/>
    <w:family w:val="roman"/>
    <w:pitch w:val="default"/>
  </w:font>
  <w:font w:name="Segoe UI">
    <w:panose1 w:val="020B0502040204020203"/>
    <w:charset w:val="cc"/>
    <w:family w:val="swiss"/>
    <w:pitch w:val="default"/>
  </w:font>
  <w:font w:name="WenQuanYi Micro Hei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"/>
    </w:pPr>
    <w:r/>
  </w:p>
  <w:tbl>
    <w:tblPr>
      <w:jc w:val="left"/>
      <w:tblInd w:w="-317" w:type="dxa"/>
      <w:tblW w:w="9945" w:type="dxa"/>
    </w:tblPr>
    <w:tblGrid>
      <w:gridCol w:w="4973"/>
      <w:gridCol w:w="4972"/>
    </w:tblGrid>
    <w:tr>
      <w:trPr>
        <w:trHeight w:val="971" w:hRule="atLeast"/>
      </w:trPr>
      <w:tc>
        <w:tcPr>
          <w:tcW w:w="4973" w:type="dxa"/>
          <w:vAlign w:val="bottom"/>
          <w:tcMar>
            <w:top w:w="0" w:type="dxa"/>
            <w:left w:w="108" w:type="dxa"/>
            <w:bottom w:w="0" w:type="dxa"/>
            <w:right w:w="108" w:type="dxa"/>
          </w:tcMar>
          <w:tcBorders>
            <w:top w:val="single" w:sz="8" w:space="0" w:color="000000" tmln="20, 20, 20, 0"/>
            <w:left w:val="nil" w:sz="0" w:space="0" w:color="000000" tmln="20, 20, 20, 0"/>
            <w:bottom w:val="nil" w:sz="0" w:space="0" w:color="000000" tmln="20, 20, 20, 0"/>
            <w:right w:val="nil" w:sz="0" w:space="0" w:color="000000" tmln="20, 20, 20, 0"/>
            <w:tl2br w:val="nil" w:sz="0" w:space="0" w:color="000000" tmln="20, 20, 20, 0"/>
            <w:tr2bl w:val="nil" w:sz="0" w:space="0" w:color="000000" tmln="20, 20, 20, 0"/>
          </w:tcBorders>
          <w:tmTcPr id="1625811180" protected="0"/>
        </w:tcPr>
        <w:p>
          <w:pPr>
            <w:spacing/>
            <w:jc w:val="center"/>
            <w:rPr>
              <w:bCs/>
              <w:iCs/>
              <w:sz w:val="20"/>
            </w:rPr>
          </w:pPr>
          <w:r>
            <w:rPr>
              <w:bCs/>
              <w:iCs/>
              <w:sz w:val="20"/>
            </w:rPr>
            <w:t>пл. Духновича Олександра, 2, м. Мукачево,</w:t>
          </w:r>
        </w:p>
        <w:p>
          <w:pPr>
            <w:spacing/>
            <w:jc w:val="center"/>
            <w:rPr>
              <w:bCs/>
              <w:iCs/>
              <w:sz w:val="20"/>
            </w:rPr>
          </w:pPr>
          <w:r>
            <w:rPr>
              <w:bCs/>
              <w:iCs/>
              <w:sz w:val="20"/>
            </w:rPr>
            <w:t>Закарпатська обл., Україна, 89600</w:t>
          </w:r>
        </w:p>
        <w:p>
          <w:pPr>
            <w:spacing/>
            <w:jc w:val="center"/>
            <w:rPr>
              <w:iCs/>
              <w:sz w:val="20"/>
              <w:lang w:val="en-us"/>
            </w:rPr>
          </w:pPr>
          <w:r>
            <w:rPr>
              <w:bCs/>
              <w:iCs/>
              <w:sz w:val="20"/>
            </w:rPr>
            <w:t xml:space="preserve">тел.: 066-633-18-80 </w:t>
          </w:r>
          <w:hyperlink r:id="rId1" w:history="1">
            <w:r>
              <w:rPr>
                <w:iCs/>
                <w:sz w:val="20"/>
                <w:lang w:val="en-us"/>
              </w:rPr>
              <w:t>http</w:t>
            </w:r>
            <w:r>
              <w:rPr>
                <w:iCs/>
                <w:sz w:val="20"/>
              </w:rPr>
              <w:t>://</w:t>
            </w:r>
            <w:r>
              <w:rPr>
                <w:iCs/>
                <w:sz w:val="20"/>
                <w:lang w:val="en-us"/>
              </w:rPr>
              <w:t>mukachevo</w:t>
            </w:r>
            <w:r>
              <w:rPr>
                <w:iCs/>
                <w:sz w:val="20"/>
              </w:rPr>
              <w:t>-</w:t>
            </w:r>
            <w:r>
              <w:rPr>
                <w:iCs/>
                <w:sz w:val="20"/>
                <w:lang w:val="en-us"/>
              </w:rPr>
              <w:t>rada</w:t>
            </w:r>
            <w:r>
              <w:rPr>
                <w:iCs/>
                <w:sz w:val="20"/>
              </w:rPr>
              <w:t>.</w:t>
            </w:r>
            <w:r>
              <w:rPr>
                <w:iCs/>
                <w:sz w:val="20"/>
                <w:lang w:val="en-us"/>
              </w:rPr>
              <w:t>gov</w:t>
            </w:r>
            <w:r>
              <w:rPr>
                <w:iCs/>
                <w:sz w:val="20"/>
              </w:rPr>
              <w:t>.</w:t>
            </w:r>
            <w:r>
              <w:rPr>
                <w:iCs/>
                <w:sz w:val="20"/>
                <w:lang w:val="en-us"/>
              </w:rPr>
              <w:t>ua</w:t>
            </w:r>
          </w:hyperlink>
        </w:p>
        <w:p>
          <w:pPr>
            <w:spacing/>
            <w:jc w:val="center"/>
            <w:rPr>
              <w:bCs/>
              <w:iCs/>
              <w:sz w:val="20"/>
            </w:rPr>
          </w:pPr>
          <w:r>
            <w:rPr>
              <w:sz w:val="20"/>
            </w:rPr>
            <w:t xml:space="preserve">код ЄДРПОУ </w:t>
          </w:r>
          <w:r>
            <w:rPr>
              <w:bCs/>
              <w:iCs/>
              <w:sz w:val="20"/>
            </w:rPr>
            <w:t>03344510</w:t>
          </w:r>
        </w:p>
      </w:tc>
      <w:tc>
        <w:tcPr>
          <w:tcW w:w="4972" w:type="dxa"/>
          <w:vAlign w:val="bottom"/>
          <w:tcMar>
            <w:top w:w="0" w:type="dxa"/>
            <w:left w:w="108" w:type="dxa"/>
            <w:bottom w:w="0" w:type="dxa"/>
            <w:right w:w="108" w:type="dxa"/>
          </w:tcMar>
          <w:tcBorders>
            <w:top w:val="single" w:sz="8" w:space="0" w:color="000000" tmln="20, 20, 20, 0"/>
            <w:left w:val="nil" w:sz="0" w:space="0" w:color="000000" tmln="20, 20, 20, 0"/>
            <w:bottom w:val="nil" w:sz="0" w:space="0" w:color="000000" tmln="20, 20, 20, 0"/>
            <w:right w:val="nil" w:sz="0" w:space="0" w:color="000000" tmln="20, 20, 20, 0"/>
            <w:tl2br w:val="nil" w:sz="0" w:space="0" w:color="000000" tmln="20, 20, 20, 0"/>
            <w:tr2bl w:val="nil" w:sz="0" w:space="0" w:color="000000" tmln="20, 20, 20, 0"/>
          </w:tcBorders>
          <w:tmTcPr id="1625811180" protected="0"/>
        </w:tcPr>
        <w:p>
          <w:pPr>
            <w:spacing/>
            <w:jc w:val="center"/>
            <w:rPr>
              <w:bCs/>
              <w:iCs/>
              <w:sz w:val="20"/>
            </w:rPr>
          </w:pPr>
          <w:r>
            <w:rPr>
              <w:bCs/>
              <w:iCs/>
              <w:sz w:val="20"/>
            </w:rPr>
            <w:t>sq. Dukhnovych Oleksandr, 2, city Mukachevo,</w:t>
          </w:r>
        </w:p>
        <w:p>
          <w:pPr>
            <w:spacing/>
            <w:jc w:val="center"/>
            <w:rPr>
              <w:bCs/>
              <w:iCs/>
              <w:sz w:val="20"/>
            </w:rPr>
          </w:pPr>
          <w:r>
            <w:rPr>
              <w:bCs/>
              <w:iCs/>
              <w:sz w:val="20"/>
            </w:rPr>
            <w:t>Transcarpathian reg., Ukraine, 89600</w:t>
          </w:r>
        </w:p>
        <w:p>
          <w:pPr>
            <w:spacing/>
            <w:jc w:val="center"/>
            <w:rPr>
              <w:bCs/>
              <w:iCs/>
              <w:sz w:val="20"/>
            </w:rPr>
          </w:pPr>
          <w:r>
            <w:rPr>
              <w:bCs/>
              <w:iCs/>
              <w:sz w:val="20"/>
            </w:rPr>
            <w:t xml:space="preserve">tel.: 066-633-18-80  </w:t>
          </w:r>
          <w:hyperlink r:id="rId2" w:history="1">
            <w:r>
              <w:rPr>
                <w:bCs/>
                <w:iCs/>
                <w:sz w:val="20"/>
              </w:rPr>
              <w:t>http://mukachevo-rada.gov.ua</w:t>
            </w:r>
          </w:hyperlink>
        </w:p>
        <w:p>
          <w:pPr>
            <w:spacing/>
            <w:jc w:val="center"/>
            <w:rPr>
              <w:bCs/>
              <w:iCs/>
              <w:sz w:val="20"/>
            </w:rPr>
          </w:pPr>
          <w:r>
            <w:rPr>
              <w:bCs/>
              <w:iCs/>
              <w:sz w:val="20"/>
            </w:rPr>
            <w:t>Registration code 03344510</w:t>
          </w:r>
        </w:p>
      </w:tc>
    </w:tr>
  </w:tbl>
  <w:p>
    <w:pPr>
      <w:pStyle w:val=""/>
    </w:pPr>
    <w:r/>
  </w:p>
  <w:p>
    <w:pPr>
      <w:pStyle w:val=""/>
    </w:pPr>
    <w:r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6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usePrinterMetrics w:val="1"/>
    <w:doNotExpandShiftReturn w:val="1"/>
  </w:compat>
  <w:shapeDefaults>
    <o:shapedefaults v:ext="edit" spidmax="2049"/>
    <o:shapelayout v:ext="edit">
      <o:rules v:ext="edit"/>
    </o:shapelayout>
  </w:shapeDefaults>
  <w:tmPrefOne w:val="0"/>
  <w:tmPrefTwo w:val="1"/>
  <w:tmFmtPref w:val="112841332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62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25811180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Andale Sans UI" w:cs="Tahoma"/>
        <w:kern w:val="1"/>
        <w:sz w:val="24"/>
        <w:szCs w:val="24"/>
        <w:position w:val="0"/>
        <w:lang w:val="uk-ua" w:eastAsia="uk-ua" w:bidi="ar-sa"/>
      </w:rPr>
    </w:rPrDefault>
    <w:pPrDefault>
      <w:pPr>
        <w:widowControl w:val="0"/>
        <w:tabs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paragraph" w:styleId="*" w:customStyle="1">
    <w:name w:val="Обычный*"/>
    <w:qFormat/>
    <w:basedOn w:val=""/>
    <w:pPr>
      <w:tabs/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</w:style>
  <w:style w:type="paragraph" w:styleId="Standard" w:customStyle="1">
    <w:name w:val="Standard"/>
    <w:qFormat/>
    <w:basedOn w:val=""/>
    <w:pPr>
      <w:tabs/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Arial" w:hAnsi="Arial"/>
      <w:sz w:val="28"/>
      <w:szCs w:val="28"/>
    </w:rPr>
  </w:style>
  <w:style w:type="paragraph" w:styleId="Textbody" w:customStyle="1">
    <w:name w:val="Text body"/>
    <w:qFormat/>
    <w:basedOn w:val="Standard"/>
    <w:pPr>
      <w:spacing w:after="120"/>
    </w:pPr>
  </w:style>
  <w:style w:type="paragraph" w:styleId="">
    <w:name w:val="List"/>
    <w:qFormat/>
    <w:basedOn w:val="Textbody"/>
  </w:style>
  <w:style w:type="paragraph" w:styleId="">
    <w:name w:val="caption"/>
    <w:qFormat/>
    <w:basedOn w:val="Standard"/>
    <w:pPr>
      <w:spacing w:before="120" w:after="120"/>
    </w:pPr>
    <w:rPr>
      <w:i/>
      <w:iCs/>
    </w:rPr>
  </w:style>
  <w:style w:type="paragraph" w:styleId="Index" w:customStyle="1">
    <w:name w:val="Index"/>
    <w:qFormat/>
    <w:basedOn w:val="Standard"/>
  </w:style>
  <w:style w:type="paragraph" w:styleId="">
    <w:name w:val="Footer"/>
    <w:qFormat/>
    <w:basedOn w:val="*"/>
    <w:pPr>
      <w:suppressAutoHyphens/>
      <w:hyphenationLines w:val="0"/>
      <w:tabs>
        <w:tab w:val="center" w:pos="4819" w:leader="none"/>
        <w:tab w:val="right" w:pos="9639" w:leader="none"/>
      </w:tabs>
    </w:pPr>
    <w:rPr>
      <w:rFonts w:ascii="Liberation Serif" w:hAnsi="Liberation Serif" w:eastAsia="Droid Sans Fallback" w:cs="Mangal"/>
      <w:szCs w:val="21"/>
      <w:lang w:eastAsia="zh-cn" w:bidi="hi-in"/>
    </w:rPr>
  </w:style>
  <w:style w:type="paragraph" w:styleId="">
    <w:name w:val="Balloon Text"/>
    <w:qFormat/>
    <w:basedOn w:val="*"/>
    <w:pPr>
      <w:suppressAutoHyphens/>
      <w:hyphenationLines w:val="0"/>
    </w:pPr>
    <w:rPr>
      <w:rFonts w:ascii="Segoe UI" w:hAnsi="Segoe UI" w:cs="Segoe UI"/>
      <w:sz w:val="18"/>
      <w:szCs w:val="18"/>
    </w:rPr>
  </w:style>
  <w:style w:type="character" w:styleId="" w:default="1">
    <w:name w:val="Default Paragraph Font"/>
  </w:style>
  <w:style w:type="character" w:styleId="">
    <w:name w:val="Default Paragraph Font"/>
    <w:basedOn w:val=""/>
  </w:style>
  <w:style w:type="character" w:styleId="">
    <w:name w:val="Hyperlink"/>
    <w:basedOn w:val=""/>
    <w:rPr>
      <w:color w:val="0000ff"/>
      <w:u w:color="auto" w:val="single"/>
    </w:rPr>
  </w:style>
  <w:style w:type="character" w:styleId="apple-style-span" w:customStyle="1">
    <w:name w:val="apple-style-span"/>
    <w:basedOn w:val=""/>
  </w:style>
  <w:style w:type="character" w:styleId="" w:customStyle="1">
    <w:name w:val="Нижний колонтитул Знак"/>
    <w:basedOn w:val=""/>
    <w:rPr>
      <w:rFonts w:ascii="Liberation Serif" w:hAnsi="Liberation Serif" w:eastAsia="Droid Sans Fallback" w:cs="Mangal"/>
      <w:szCs w:val="21"/>
      <w:lang w:eastAsia="zh-cn" w:bidi="hi-in"/>
    </w:rPr>
  </w:style>
  <w:style w:type="character" w:styleId="" w:customStyle="1">
    <w:name w:val="Текст выноски Знак"/>
    <w:basedOn w:val="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Andale Sans UI" w:cs="Tahoma"/>
        <w:kern w:val="1"/>
        <w:sz w:val="24"/>
        <w:szCs w:val="24"/>
        <w:position w:val="0"/>
        <w:lang w:val="uk-ua" w:eastAsia="uk-ua" w:bidi="ar-sa"/>
      </w:rPr>
    </w:rPrDefault>
    <w:pPrDefault>
      <w:pPr>
        <w:widowControl w:val="0"/>
        <w:tabs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paragraph" w:styleId="*" w:customStyle="1">
    <w:name w:val="Обычный*"/>
    <w:qFormat/>
    <w:basedOn w:val=""/>
    <w:pPr>
      <w:tabs/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</w:style>
  <w:style w:type="paragraph" w:styleId="Standard" w:customStyle="1">
    <w:name w:val="Standard"/>
    <w:qFormat/>
    <w:basedOn w:val=""/>
    <w:pPr>
      <w:tabs/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Arial" w:hAnsi="Arial"/>
      <w:sz w:val="28"/>
      <w:szCs w:val="28"/>
    </w:rPr>
  </w:style>
  <w:style w:type="paragraph" w:styleId="Textbody" w:customStyle="1">
    <w:name w:val="Text body"/>
    <w:qFormat/>
    <w:basedOn w:val="Standard"/>
    <w:pPr>
      <w:spacing w:after="120"/>
    </w:pPr>
  </w:style>
  <w:style w:type="paragraph" w:styleId="">
    <w:name w:val="List"/>
    <w:qFormat/>
    <w:basedOn w:val="Textbody"/>
  </w:style>
  <w:style w:type="paragraph" w:styleId="">
    <w:name w:val="caption"/>
    <w:qFormat/>
    <w:basedOn w:val="Standard"/>
    <w:pPr>
      <w:spacing w:before="120" w:after="120"/>
    </w:pPr>
    <w:rPr>
      <w:i/>
      <w:iCs/>
    </w:rPr>
  </w:style>
  <w:style w:type="paragraph" w:styleId="Index" w:customStyle="1">
    <w:name w:val="Index"/>
    <w:qFormat/>
    <w:basedOn w:val="Standard"/>
  </w:style>
  <w:style w:type="paragraph" w:styleId="">
    <w:name w:val="Footer"/>
    <w:qFormat/>
    <w:basedOn w:val="*"/>
    <w:pPr>
      <w:suppressAutoHyphens/>
      <w:hyphenationLines w:val="0"/>
      <w:tabs>
        <w:tab w:val="center" w:pos="4819" w:leader="none"/>
        <w:tab w:val="right" w:pos="9639" w:leader="none"/>
      </w:tabs>
    </w:pPr>
    <w:rPr>
      <w:rFonts w:ascii="Liberation Serif" w:hAnsi="Liberation Serif" w:eastAsia="Droid Sans Fallback" w:cs="Mangal"/>
      <w:szCs w:val="21"/>
      <w:lang w:eastAsia="zh-cn" w:bidi="hi-in"/>
    </w:rPr>
  </w:style>
  <w:style w:type="paragraph" w:styleId="">
    <w:name w:val="Balloon Text"/>
    <w:qFormat/>
    <w:basedOn w:val="*"/>
    <w:pPr>
      <w:suppressAutoHyphens/>
      <w:hyphenationLines w:val="0"/>
    </w:pPr>
    <w:rPr>
      <w:rFonts w:ascii="Segoe UI" w:hAnsi="Segoe UI" w:cs="Segoe UI"/>
      <w:sz w:val="18"/>
      <w:szCs w:val="18"/>
    </w:rPr>
  </w:style>
  <w:style w:type="character" w:styleId="" w:default="1">
    <w:name w:val="Default Paragraph Font"/>
  </w:style>
  <w:style w:type="character" w:styleId="">
    <w:name w:val="Default Paragraph Font"/>
    <w:basedOn w:val=""/>
  </w:style>
  <w:style w:type="character" w:styleId="">
    <w:name w:val="Hyperlink"/>
    <w:basedOn w:val=""/>
    <w:rPr>
      <w:color w:val="0000ff"/>
      <w:u w:color="auto" w:val="single"/>
    </w:rPr>
  </w:style>
  <w:style w:type="character" w:styleId="apple-style-span" w:customStyle="1">
    <w:name w:val="apple-style-span"/>
    <w:basedOn w:val=""/>
  </w:style>
  <w:style w:type="character" w:styleId="" w:customStyle="1">
    <w:name w:val="Нижний колонтитул Знак"/>
    <w:basedOn w:val=""/>
    <w:rPr>
      <w:rFonts w:ascii="Liberation Serif" w:hAnsi="Liberation Serif" w:eastAsia="Droid Sans Fallback" w:cs="Mangal"/>
      <w:szCs w:val="21"/>
      <w:lang w:eastAsia="zh-cn" w:bidi="hi-in"/>
    </w:rPr>
  </w:style>
  <w:style w:type="character" w:styleId="" w:customStyle="1">
    <w:name w:val="Текст выноски Знак"/>
    <w:basedOn w:val="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footer" Target="footer1.xml"/></Relationships>
</file>

<file path=word/_rels/footer1.xml.rels><?xml version="1.0" encoding="UTF-8" standalone="yes" ?>
<Relationships xmlns="http://schemas.openxmlformats.org/package/2006/relationships"><Relationship Id="rId1" Type="http://schemas.openxmlformats.org/officeDocument/2006/relationships/hyperlink" Target="http://mukachevo-rada.gov.ua/" TargetMode="External"/><Relationship Id="rId2" Type="http://schemas.openxmlformats.org/officeDocument/2006/relationships/hyperlink" Target="http://mukachevo-rada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Andale Sans UI"/>
        <a:cs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Користувач Windows.0 MicrosoftWord </cp:lastModifiedBy>
  <cp:revision>3622</cp:revision>
  <dcterms:created xsi:type="dcterms:W3CDTF">2009-04-16T11:32:00Z</dcterms:created>
  <dcterms:modified xsi:type="dcterms:W3CDTF">2021-07-09T09:13:00Z</dcterms:modified>
</cp:coreProperties>
</file>