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drawing>
          <wp:anchor behindDoc="0" distT="0" distB="0" distL="114300" distR="120650" simplePos="0" locked="0" layoutInCell="1" allowOverlap="1" relativeHeight="2">
            <wp:simplePos x="0" y="0"/>
            <wp:positionH relativeFrom="margin">
              <wp:align>center</wp:align>
            </wp:positionH>
            <wp:positionV relativeFrom="paragraph">
              <wp:posOffset>-513080</wp:posOffset>
            </wp:positionV>
            <wp:extent cx="431800" cy="61214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14"/>
        <w:spacing w:lineRule="auto" w:line="240"/>
        <w:jc w:val="center"/>
        <w:rPr>
          <w:b/>
          <w:b/>
          <w:sz w:val="28"/>
          <w:szCs w:val="28"/>
        </w:rPr>
      </w:pPr>
      <w:r>
        <w:rPr>
          <w:b/>
          <w:sz w:val="28"/>
          <w:szCs w:val="28"/>
        </w:rPr>
        <w:t>У К Р А Ї Н А</w:t>
      </w:r>
    </w:p>
    <w:p>
      <w:pPr>
        <w:pStyle w:val="14"/>
        <w:spacing w:lineRule="auto" w:line="240"/>
        <w:jc w:val="center"/>
        <w:rPr>
          <w:b/>
          <w:b/>
          <w:sz w:val="28"/>
          <w:szCs w:val="28"/>
        </w:rPr>
      </w:pPr>
      <w:r>
        <w:rPr>
          <w:b/>
          <w:sz w:val="28"/>
          <w:szCs w:val="28"/>
        </w:rPr>
        <w:t>ЗАКАРПАТСЬКА ОБЛАСТЬ</w:t>
      </w:r>
    </w:p>
    <w:p>
      <w:pPr>
        <w:pStyle w:val="14"/>
        <w:spacing w:lineRule="auto" w:line="240"/>
        <w:jc w:val="center"/>
        <w:rPr>
          <w:b/>
          <w:b/>
          <w:sz w:val="28"/>
          <w:szCs w:val="28"/>
        </w:rPr>
      </w:pPr>
      <w:r>
        <w:rPr>
          <w:b/>
          <w:sz w:val="28"/>
          <w:szCs w:val="28"/>
        </w:rPr>
        <w:t>МУКАЧІВСЬКА МІСЬКА РАДА</w:t>
      </w:r>
    </w:p>
    <w:p>
      <w:pPr>
        <w:pStyle w:val="14"/>
        <w:spacing w:lineRule="auto" w:line="240"/>
        <w:jc w:val="center"/>
        <w:rPr>
          <w:b/>
          <w:b/>
          <w:sz w:val="28"/>
          <w:szCs w:val="28"/>
        </w:rPr>
      </w:pPr>
      <w:r>
        <w:rPr>
          <w:b/>
          <w:sz w:val="28"/>
          <w:szCs w:val="28"/>
        </w:rPr>
        <w:t>ВИКОНАВЧИЙ КОМІТЕТ</w:t>
      </w:r>
    </w:p>
    <w:p>
      <w:pPr>
        <w:pStyle w:val="1"/>
        <w:numPr>
          <w:ilvl w:val="0"/>
          <w:numId w:val="2"/>
        </w:numPr>
        <w:jc w:val="center"/>
        <w:rPr>
          <w:color w:val="FF0000"/>
          <w:sz w:val="16"/>
        </w:rPr>
      </w:pPr>
      <w:r>
        <w:rPr>
          <w:rFonts w:cs="Times New Roman" w:ascii="Times New Roman" w:hAnsi="Times New Roman"/>
          <w:sz w:val="28"/>
          <w:lang w:val="uk-UA"/>
        </w:rPr>
        <w:t>РІШЕННЯ</w:t>
      </w:r>
    </w:p>
    <w:p>
      <w:pPr>
        <w:pStyle w:val="Normal"/>
        <w:jc w:val="center"/>
        <w:rPr>
          <w:color w:val="FF0000"/>
          <w:sz w:val="16"/>
        </w:rPr>
      </w:pPr>
      <w:r>
        <w:rPr>
          <w:color w:val="FF0000"/>
          <w:sz w:val="16"/>
        </w:rPr>
      </w:r>
    </w:p>
    <w:p>
      <w:pPr>
        <w:pStyle w:val="Normal"/>
        <w:rPr/>
      </w:pPr>
      <w:r>
        <w:rPr>
          <w:sz w:val="28"/>
          <w:szCs w:val="28"/>
        </w:rPr>
        <w:t>21.01.2020</w:t>
      </w:r>
      <w:r>
        <w:rPr>
          <w:sz w:val="28"/>
          <w:szCs w:val="28"/>
        </w:rPr>
        <w:tab/>
        <w:tab/>
        <w:t xml:space="preserve">                  </w:t>
      </w:r>
      <w:r>
        <w:rPr>
          <w:sz w:val="28"/>
          <w:szCs w:val="28"/>
          <w:lang w:val="en-US"/>
        </w:rPr>
        <w:t xml:space="preserve"> </w:t>
      </w:r>
      <w:r>
        <w:rPr>
          <w:sz w:val="28"/>
          <w:szCs w:val="28"/>
        </w:rPr>
        <w:t xml:space="preserve">             Мукачево</w:t>
        <w:tab/>
        <w:tab/>
        <w:t xml:space="preserve">                             </w:t>
      </w:r>
      <w:r>
        <w:rPr>
          <w:sz w:val="28"/>
          <w:szCs w:val="28"/>
          <w:lang w:val="en-US"/>
        </w:rPr>
        <w:t xml:space="preserve">         </w:t>
      </w:r>
      <w:r>
        <w:rPr>
          <w:sz w:val="28"/>
          <w:szCs w:val="28"/>
        </w:rPr>
        <w:t xml:space="preserve">№ </w:t>
      </w:r>
      <w:r>
        <w:rPr>
          <w:sz w:val="28"/>
          <w:szCs w:val="28"/>
        </w:rPr>
        <w:t>17</w:t>
      </w:r>
    </w:p>
    <w:p>
      <w:pPr>
        <w:pStyle w:val="2"/>
        <w:numPr>
          <w:ilvl w:val="1"/>
          <w:numId w:val="2"/>
        </w:numPr>
        <w:jc w:val="left"/>
        <w:rPr/>
      </w:pPr>
      <w:r>
        <w:rPr/>
      </w:r>
    </w:p>
    <w:p>
      <w:pPr>
        <w:pStyle w:val="Style17"/>
        <w:tabs>
          <w:tab w:val="left" w:pos="9639" w:leader="none"/>
        </w:tabs>
        <w:ind w:right="-1" w:hanging="0"/>
        <w:rPr>
          <w:b/>
          <w:b/>
          <w:sz w:val="28"/>
          <w:szCs w:val="28"/>
        </w:rPr>
      </w:pPr>
      <w:r>
        <w:rPr>
          <w:b/>
          <w:sz w:val="28"/>
          <w:szCs w:val="28"/>
        </w:rPr>
        <w:t>Про оприлюднення проєкту рішення «</w:t>
      </w:r>
      <w:bookmarkStart w:id="0" w:name="_Hlk25576521"/>
      <w:r>
        <w:rPr>
          <w:b/>
          <w:sz w:val="28"/>
          <w:szCs w:val="28"/>
        </w:rPr>
        <w:t>Про затвердження тарифу на перевезення пасажирів автобусними маршрутами загального користування в м. Мукачево</w:t>
      </w:r>
      <w:bookmarkStart w:id="1" w:name="_Hlk529448145"/>
      <w:bookmarkEnd w:id="0"/>
      <w:bookmarkEnd w:id="1"/>
      <w:r>
        <w:rPr>
          <w:b/>
          <w:sz w:val="28"/>
          <w:szCs w:val="28"/>
        </w:rPr>
        <w:t>»</w:t>
      </w:r>
    </w:p>
    <w:p>
      <w:pPr>
        <w:pStyle w:val="Style17"/>
        <w:tabs>
          <w:tab w:val="left" w:pos="9900" w:leader="none"/>
        </w:tabs>
        <w:ind w:right="-181" w:hanging="0"/>
        <w:rPr>
          <w:b/>
          <w:b/>
          <w:sz w:val="28"/>
          <w:szCs w:val="28"/>
        </w:rPr>
      </w:pPr>
      <w:r>
        <w:rPr>
          <w:b/>
          <w:sz w:val="28"/>
          <w:szCs w:val="28"/>
        </w:rPr>
      </w:r>
    </w:p>
    <w:p>
      <w:pPr>
        <w:pStyle w:val="Normal"/>
        <w:spacing w:lineRule="atLeast" w:line="100"/>
        <w:ind w:firstLine="708"/>
        <w:jc w:val="both"/>
        <w:rPr>
          <w:sz w:val="28"/>
          <w:szCs w:val="28"/>
        </w:rPr>
      </w:pPr>
      <w:r>
        <w:rPr>
          <w:sz w:val="28"/>
          <w:szCs w:val="28"/>
        </w:rPr>
        <w:t xml:space="preserve">З метою одержання зауважень і пропозицій від фізичних та юридичних осіб, їх об’єднань до проекту регуляторного акта, відповідно до ст. 9 </w:t>
      </w:r>
      <w:bookmarkStart w:id="2" w:name="_Hlk23320733"/>
      <w:r>
        <w:rPr>
          <w:sz w:val="28"/>
          <w:szCs w:val="28"/>
        </w:rPr>
        <w:t>Закону України «Про засади державної регуляторної політики у сфері господарської діяльності»</w:t>
      </w:r>
      <w:bookmarkEnd w:id="2"/>
      <w:r>
        <w:rPr>
          <w:sz w:val="28"/>
          <w:szCs w:val="28"/>
        </w:rPr>
        <w:t xml:space="preserve">, керуючись </w:t>
      </w:r>
      <w:r>
        <w:rPr>
          <w:rFonts w:cs="Times New Roman CYR" w:ascii="Times New Roman CYR" w:hAnsi="Times New Roman CYR"/>
          <w:sz w:val="28"/>
          <w:szCs w:val="28"/>
        </w:rPr>
        <w:t xml:space="preserve">пп. 2 п «а» ч.1 ст. 28, </w:t>
      </w:r>
      <w:r>
        <w:rPr>
          <w:sz w:val="28"/>
          <w:szCs w:val="28"/>
        </w:rPr>
        <w:t xml:space="preserve">ст.52, ч.6 ст. 59 Закону України «Про місцеве самоврядування в Україні», </w:t>
      </w:r>
      <w:r>
        <w:rPr>
          <w:b/>
          <w:sz w:val="28"/>
          <w:szCs w:val="28"/>
        </w:rPr>
        <w:t>виконавчий комітет Мукачівської міської ради вирішив</w:t>
      </w:r>
      <w:r>
        <w:rPr>
          <w:sz w:val="28"/>
          <w:szCs w:val="28"/>
        </w:rPr>
        <w:t>:</w:t>
      </w:r>
    </w:p>
    <w:p>
      <w:pPr>
        <w:pStyle w:val="Normal"/>
        <w:spacing w:lineRule="atLeast" w:line="100"/>
        <w:ind w:firstLine="708"/>
        <w:jc w:val="both"/>
        <w:rPr>
          <w:sz w:val="28"/>
          <w:szCs w:val="28"/>
        </w:rPr>
      </w:pPr>
      <w:r>
        <w:rPr>
          <w:sz w:val="28"/>
          <w:szCs w:val="28"/>
        </w:rPr>
      </w:r>
    </w:p>
    <w:p>
      <w:pPr>
        <w:pStyle w:val="Normal"/>
        <w:spacing w:lineRule="atLeast" w:line="100" w:before="0" w:after="240"/>
        <w:ind w:firstLine="708"/>
        <w:jc w:val="both"/>
        <w:rPr>
          <w:sz w:val="28"/>
          <w:szCs w:val="28"/>
        </w:rPr>
      </w:pPr>
      <w:r>
        <w:rPr>
          <w:sz w:val="28"/>
          <w:szCs w:val="28"/>
        </w:rPr>
        <w:t xml:space="preserve">1.  Управлінню міського господарства виконавчого комітету Мукачівської міської ради оприлюднити на офіційному сайті Мукачівської міської ради (www.mukachevo-rada.gov.ua) проєкт рішення «Про затвердження тарифу на перевезення пасажирів автобусними маршрутами </w:t>
      </w:r>
      <w:bookmarkStart w:id="3" w:name="_Hlk27568944"/>
      <w:r>
        <w:rPr>
          <w:sz w:val="28"/>
          <w:szCs w:val="28"/>
        </w:rPr>
        <w:t xml:space="preserve">загального користування в </w:t>
      </w:r>
      <w:bookmarkEnd w:id="3"/>
      <w:r>
        <w:rPr>
          <w:sz w:val="28"/>
          <w:szCs w:val="28"/>
        </w:rPr>
        <w:t xml:space="preserve">      м. Мукачево».</w:t>
      </w:r>
    </w:p>
    <w:p>
      <w:pPr>
        <w:pStyle w:val="Normal"/>
        <w:spacing w:lineRule="atLeast" w:line="100"/>
        <w:ind w:firstLine="708"/>
        <w:jc w:val="both"/>
        <w:rPr>
          <w:sz w:val="28"/>
          <w:szCs w:val="28"/>
        </w:rPr>
      </w:pPr>
      <w:r>
        <w:rPr>
          <w:sz w:val="28"/>
          <w:szCs w:val="28"/>
        </w:rPr>
        <w:t>2. Контроль за виконанням цього рішення покласти на начальника Управління міського господарства виконавчого комітету Мукачівської міської ради В. Гасинця.</w:t>
      </w:r>
    </w:p>
    <w:p>
      <w:pPr>
        <w:pStyle w:val="Normal"/>
        <w:spacing w:lineRule="atLeast" w:line="100"/>
        <w:jc w:val="both"/>
        <w:rPr>
          <w:b/>
          <w:b/>
          <w:sz w:val="28"/>
          <w:szCs w:val="28"/>
        </w:rPr>
      </w:pPr>
      <w:r>
        <w:rPr>
          <w:b/>
          <w:sz w:val="28"/>
          <w:szCs w:val="28"/>
        </w:rPr>
      </w:r>
    </w:p>
    <w:p>
      <w:pPr>
        <w:pStyle w:val="Normal"/>
        <w:spacing w:lineRule="atLeast" w:line="100"/>
        <w:jc w:val="both"/>
        <w:rPr>
          <w:b/>
          <w:b/>
          <w:sz w:val="28"/>
          <w:szCs w:val="28"/>
        </w:rPr>
      </w:pPr>
      <w:r>
        <w:rPr>
          <w:b/>
          <w:sz w:val="28"/>
          <w:szCs w:val="28"/>
        </w:rPr>
      </w:r>
    </w:p>
    <w:p>
      <w:pPr>
        <w:pStyle w:val="Normal"/>
        <w:spacing w:lineRule="atLeast" w:line="100"/>
        <w:jc w:val="both"/>
        <w:rPr>
          <w:b/>
          <w:b/>
          <w:sz w:val="28"/>
          <w:szCs w:val="28"/>
        </w:rPr>
      </w:pPr>
      <w:r>
        <w:rPr>
          <w:b/>
          <w:sz w:val="28"/>
          <w:szCs w:val="28"/>
        </w:rPr>
        <w:t>Міський голова</w:t>
        <w:tab/>
        <w:tab/>
        <w:tab/>
        <w:tab/>
        <w:tab/>
        <w:tab/>
        <w:tab/>
        <w:tab/>
        <w:tab/>
        <w:t xml:space="preserve">        А. Балога</w:t>
      </w:r>
    </w:p>
    <w:p>
      <w:pPr>
        <w:pStyle w:val="Normal"/>
        <w:jc w:val="both"/>
        <w:rPr>
          <w:sz w:val="28"/>
          <w:szCs w:val="28"/>
        </w:rPr>
      </w:pPr>
      <w:r>
        <w:rPr>
          <w:sz w:val="28"/>
          <w:szCs w:val="28"/>
        </w:rPr>
      </w:r>
      <w:r>
        <w:br w:type="page"/>
      </w:r>
    </w:p>
    <w:p>
      <w:pPr>
        <w:pStyle w:val="Normal"/>
        <w:rPr>
          <w:b/>
          <w:b/>
          <w:sz w:val="28"/>
          <w:szCs w:val="28"/>
        </w:rPr>
      </w:pPr>
      <w:r>
        <w:rPr>
          <w:b/>
          <w:sz w:val="28"/>
          <w:szCs w:val="28"/>
        </w:rPr>
        <w:drawing>
          <wp:anchor behindDoc="0" distT="0" distB="0" distL="114300" distR="120650" simplePos="0" locked="0" layoutInCell="1" allowOverlap="1" relativeHeight="3">
            <wp:simplePos x="0" y="0"/>
            <wp:positionH relativeFrom="margin">
              <wp:align>center</wp:align>
            </wp:positionH>
            <wp:positionV relativeFrom="paragraph">
              <wp:posOffset>-498475</wp:posOffset>
            </wp:positionV>
            <wp:extent cx="431800" cy="612140"/>
            <wp:effectExtent l="0" t="0" r="0" b="0"/>
            <wp:wrapNone/>
            <wp:docPr id="2"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
                    <pic:cNvPicPr>
                      <a:picLocks noChangeAspect="1" noChangeArrowheads="1"/>
                    </pic:cNvPicPr>
                  </pic:nvPicPr>
                  <pic:blipFill>
                    <a:blip r:embed="rId3"/>
                    <a:stretch>
                      <a:fillRect/>
                    </a:stretch>
                  </pic:blipFill>
                  <pic:spPr bwMode="auto">
                    <a:xfrm>
                      <a:off x="0" y="0"/>
                      <a:ext cx="431800" cy="612140"/>
                    </a:xfrm>
                    <a:prstGeom prst="rect">
                      <a:avLst/>
                    </a:prstGeom>
                  </pic:spPr>
                </pic:pic>
              </a:graphicData>
            </a:graphic>
          </wp:anchor>
        </w:drawing>
      </w:r>
    </w:p>
    <w:p>
      <w:pPr>
        <w:pStyle w:val="14"/>
        <w:spacing w:lineRule="auto" w:line="240"/>
        <w:jc w:val="center"/>
        <w:rPr>
          <w:b/>
          <w:b/>
          <w:sz w:val="28"/>
          <w:szCs w:val="28"/>
        </w:rPr>
      </w:pPr>
      <w:r>
        <w:rPr>
          <w:b/>
          <w:sz w:val="28"/>
          <w:szCs w:val="28"/>
        </w:rPr>
        <w:t>У К Р А Ї Н А</w:t>
      </w:r>
    </w:p>
    <w:p>
      <w:pPr>
        <w:pStyle w:val="14"/>
        <w:spacing w:lineRule="auto" w:line="240"/>
        <w:jc w:val="center"/>
        <w:rPr>
          <w:b/>
          <w:b/>
          <w:sz w:val="28"/>
          <w:szCs w:val="28"/>
        </w:rPr>
      </w:pPr>
      <w:r>
        <w:rPr>
          <w:b/>
          <w:sz w:val="28"/>
          <w:szCs w:val="28"/>
        </w:rPr>
        <w:t>ЗАКАРПАТСЬКА ОБЛАСТЬ</w:t>
      </w:r>
    </w:p>
    <w:p>
      <w:pPr>
        <w:pStyle w:val="14"/>
        <w:spacing w:lineRule="auto" w:line="240"/>
        <w:jc w:val="center"/>
        <w:rPr>
          <w:b/>
          <w:b/>
          <w:sz w:val="28"/>
          <w:szCs w:val="28"/>
        </w:rPr>
      </w:pPr>
      <w:r>
        <w:rPr>
          <w:b/>
          <w:sz w:val="28"/>
          <w:szCs w:val="28"/>
        </w:rPr>
        <w:t>МУКАЧІВСЬКА МІСЬКА РАДА</w:t>
      </w:r>
    </w:p>
    <w:p>
      <w:pPr>
        <w:pStyle w:val="14"/>
        <w:spacing w:lineRule="auto" w:line="240"/>
        <w:jc w:val="center"/>
        <w:rPr>
          <w:b/>
          <w:b/>
          <w:sz w:val="28"/>
          <w:szCs w:val="28"/>
        </w:rPr>
      </w:pPr>
      <w:r>
        <w:rPr>
          <w:b/>
          <w:sz w:val="28"/>
          <w:szCs w:val="28"/>
        </w:rPr>
        <w:t>ВИКОНАВЧИЙ КОМІТЕТ</w:t>
      </w:r>
    </w:p>
    <w:p>
      <w:pPr>
        <w:pStyle w:val="1"/>
        <w:numPr>
          <w:ilvl w:val="0"/>
          <w:numId w:val="2"/>
        </w:numPr>
        <w:jc w:val="center"/>
        <w:rPr>
          <w:color w:val="FF0000"/>
          <w:sz w:val="16"/>
        </w:rPr>
      </w:pPr>
      <w:r>
        <w:rPr>
          <w:rFonts w:cs="Times New Roman" w:ascii="Times New Roman" w:hAnsi="Times New Roman"/>
          <w:sz w:val="28"/>
          <w:lang w:val="uk-UA"/>
        </w:rPr>
        <w:t>ПРОЄКТ РІШЕННЯ</w:t>
      </w:r>
    </w:p>
    <w:p>
      <w:pPr>
        <w:pStyle w:val="Normal"/>
        <w:jc w:val="center"/>
        <w:rPr>
          <w:color w:val="FF0000"/>
          <w:sz w:val="16"/>
        </w:rPr>
      </w:pPr>
      <w:r>
        <w:rPr>
          <w:color w:val="FF0000"/>
          <w:sz w:val="16"/>
        </w:rPr>
      </w:r>
    </w:p>
    <w:p>
      <w:pPr>
        <w:pStyle w:val="Normal"/>
        <w:rPr>
          <w:lang w:val="en-US"/>
        </w:rPr>
      </w:pPr>
      <w:r>
        <w:rPr>
          <w:sz w:val="28"/>
          <w:szCs w:val="28"/>
        </w:rPr>
        <w:t>___________</w:t>
        <w:tab/>
        <w:tab/>
        <w:t xml:space="preserve">                  </w:t>
      </w:r>
      <w:r>
        <w:rPr>
          <w:sz w:val="28"/>
          <w:szCs w:val="28"/>
          <w:lang w:val="en-US"/>
        </w:rPr>
        <w:t xml:space="preserve"> </w:t>
      </w:r>
      <w:r>
        <w:rPr>
          <w:sz w:val="28"/>
          <w:szCs w:val="28"/>
        </w:rPr>
        <w:t xml:space="preserve"> Мукачево</w:t>
        <w:tab/>
        <w:tab/>
        <w:t xml:space="preserve">                         </w:t>
      </w:r>
      <w:r>
        <w:rPr>
          <w:sz w:val="28"/>
          <w:szCs w:val="28"/>
          <w:lang w:val="en-US"/>
        </w:rPr>
        <w:t xml:space="preserve">         </w:t>
      </w:r>
      <w:r>
        <w:rPr>
          <w:sz w:val="28"/>
          <w:szCs w:val="28"/>
        </w:rPr>
        <w:t>№____</w:t>
      </w:r>
    </w:p>
    <w:p>
      <w:pPr>
        <w:pStyle w:val="2"/>
        <w:numPr>
          <w:ilvl w:val="1"/>
          <w:numId w:val="2"/>
        </w:numPr>
        <w:jc w:val="left"/>
        <w:rPr/>
      </w:pPr>
      <w:r>
        <w:rPr/>
      </w:r>
    </w:p>
    <w:p>
      <w:pPr>
        <w:pStyle w:val="Style17"/>
        <w:tabs>
          <w:tab w:val="left" w:pos="9639" w:leader="none"/>
        </w:tabs>
        <w:ind w:right="-1" w:hanging="0"/>
        <w:rPr>
          <w:b/>
          <w:b/>
          <w:sz w:val="28"/>
          <w:szCs w:val="28"/>
        </w:rPr>
      </w:pPr>
      <w:bookmarkStart w:id="4" w:name="_Hlk24987088"/>
      <w:bookmarkEnd w:id="4"/>
      <w:r>
        <w:rPr>
          <w:b/>
          <w:sz w:val="28"/>
          <w:szCs w:val="28"/>
        </w:rPr>
        <w:t>Про затвердження тарифу на перевезення пасажирів автобусними маршрутами загального користування в м. Мукачево</w:t>
      </w:r>
    </w:p>
    <w:p>
      <w:pPr>
        <w:pStyle w:val="Normal"/>
        <w:ind w:firstLine="720"/>
        <w:jc w:val="both"/>
        <w:rPr>
          <w:sz w:val="28"/>
          <w:szCs w:val="28"/>
        </w:rPr>
      </w:pPr>
      <w:r>
        <w:rPr>
          <w:sz w:val="28"/>
          <w:szCs w:val="28"/>
        </w:rPr>
      </w:r>
    </w:p>
    <w:p>
      <w:pPr>
        <w:pStyle w:val="Normal"/>
        <w:ind w:firstLine="720"/>
        <w:jc w:val="both"/>
        <w:rPr>
          <w:b/>
          <w:b/>
          <w:bCs/>
          <w:sz w:val="28"/>
          <w:szCs w:val="28"/>
        </w:rPr>
      </w:pPr>
      <w:r>
        <w:rPr>
          <w:sz w:val="28"/>
          <w:szCs w:val="28"/>
        </w:rPr>
        <w:t xml:space="preserve">Відповідно до законів України «Про автомобільний транспорт», «Про засади державної регуляторної політики  у сфері господарської діяльності», наказу Міністерства транспорту та зв’язку України від 17.11.2009 року № 1175 «Про затвердження Методики розрахунку тарифів на послуги пасажирського автомобільного транспорту», беручи до уваги звернення перевізників щодо приведення у відповідність розміру тарифів на послуги міського пасажирського транспорту економічно обґрунтованим витратам, зважаючи на зростання вартості матеріальних ресурсів, паливно-мастильних матеріалів, розміру мінімальної заробітної плати, враховуючи рекомендації міської комісії з питань реалізації цінової політики у житлово-комунальному господарстві та на міському пасажирському транспорті  (протокол №___ від ____), керуючись </w:t>
      </w:r>
      <w:r>
        <w:rPr>
          <w:rFonts w:cs="Times New Roman CYR" w:ascii="Times New Roman CYR" w:hAnsi="Times New Roman CYR"/>
          <w:sz w:val="28"/>
          <w:szCs w:val="28"/>
        </w:rPr>
        <w:t xml:space="preserve">пп. 2 п «а» ч.1 ст. 28, </w:t>
      </w:r>
      <w:r>
        <w:rPr>
          <w:sz w:val="28"/>
          <w:szCs w:val="28"/>
        </w:rPr>
        <w:t xml:space="preserve">ст.52, ч.6 ст. 59 Закону України «Про місцеве самоврядування в Україні», </w:t>
      </w:r>
      <w:r>
        <w:rPr>
          <w:b/>
          <w:bCs/>
          <w:sz w:val="28"/>
          <w:szCs w:val="28"/>
        </w:rPr>
        <w:t>виконавчий комітет Мукачівської міської ради вирішив:</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1. Затвердити тариф на перевезення одного пасажира автобусами загального користування, які працюють на території м. Мукачево у режимі руху маршрутного таксі у розмірі 7,00 грн.</w:t>
      </w:r>
    </w:p>
    <w:p>
      <w:pPr>
        <w:pStyle w:val="Normal"/>
        <w:ind w:firstLine="720"/>
        <w:jc w:val="both"/>
        <w:rPr>
          <w:sz w:val="28"/>
          <w:szCs w:val="28"/>
        </w:rPr>
      </w:pPr>
      <w:r>
        <w:rPr>
          <w:sz w:val="28"/>
          <w:szCs w:val="28"/>
        </w:rPr>
        <w:t xml:space="preserve">2. Встановити, що дане рішення набуває чинності з </w:t>
      </w:r>
      <w:r>
        <w:rPr>
          <w:sz w:val="28"/>
          <w:szCs w:val="28"/>
          <w:lang w:val="ru-RU"/>
        </w:rPr>
        <w:t>01.03.2020р</w:t>
      </w:r>
      <w:r>
        <w:rPr>
          <w:sz w:val="28"/>
          <w:szCs w:val="28"/>
        </w:rPr>
        <w:t>.</w:t>
      </w:r>
    </w:p>
    <w:p>
      <w:pPr>
        <w:pStyle w:val="Normal"/>
        <w:ind w:firstLine="720"/>
        <w:jc w:val="both"/>
        <w:rPr/>
      </w:pPr>
      <w:r>
        <w:rPr>
          <w:sz w:val="28"/>
          <w:szCs w:val="28"/>
        </w:rPr>
        <w:t xml:space="preserve">3. Управлінню міського господарства Мукачівської міської ради оприлюднити дане рішення в місцевих засобах масової інформації та на офіційному сайті Мукачівської міської ради </w:t>
      </w:r>
      <w:hyperlink r:id="rId4">
        <w:r>
          <w:rPr>
            <w:rStyle w:val="Style14"/>
            <w:sz w:val="28"/>
            <w:szCs w:val="28"/>
          </w:rPr>
          <w:t>www.mukachevo-rada.gov.ua</w:t>
        </w:r>
      </w:hyperlink>
      <w:r>
        <w:rPr>
          <w:sz w:val="28"/>
          <w:szCs w:val="28"/>
        </w:rPr>
        <w:t>.</w:t>
      </w:r>
    </w:p>
    <w:p>
      <w:pPr>
        <w:pStyle w:val="Normal"/>
        <w:ind w:firstLine="720"/>
        <w:jc w:val="both"/>
        <w:rPr>
          <w:sz w:val="28"/>
          <w:szCs w:val="28"/>
        </w:rPr>
      </w:pPr>
      <w:r>
        <w:rPr>
          <w:sz w:val="28"/>
          <w:szCs w:val="28"/>
        </w:rPr>
        <w:t>4. Вважати таким, що втратило чинність рішення виконавчого комітету Мукачівської міської ради від 02.05.2018р. № 123 «Про тарифи на перевезення пасажирів міськими автобусними маршрутами» з 01.02.2020р.</w:t>
      </w:r>
    </w:p>
    <w:p>
      <w:pPr>
        <w:pStyle w:val="Normal"/>
        <w:ind w:firstLine="720"/>
        <w:jc w:val="both"/>
        <w:rPr>
          <w:sz w:val="28"/>
          <w:szCs w:val="28"/>
        </w:rPr>
      </w:pPr>
      <w:r>
        <w:rPr>
          <w:sz w:val="28"/>
          <w:szCs w:val="28"/>
        </w:rPr>
        <w:t>5.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color w:val="000000"/>
          <w:sz w:val="28"/>
          <w:szCs w:val="28"/>
        </w:rPr>
      </w:pPr>
      <w:r>
        <w:rPr>
          <w:b/>
          <w:bCs/>
          <w:sz w:val="28"/>
          <w:szCs w:val="28"/>
        </w:rPr>
        <w:t xml:space="preserve">Міський голова </w:t>
        <w:tab/>
        <w:tab/>
        <w:tab/>
        <w:tab/>
        <w:tab/>
        <w:tab/>
        <w:tab/>
        <w:tab/>
        <w:tab/>
        <w:t xml:space="preserve">    </w:t>
      </w:r>
      <w:r>
        <w:rPr>
          <w:b/>
          <w:bCs/>
          <w:sz w:val="28"/>
          <w:szCs w:val="28"/>
          <w:lang w:val="ru-RU"/>
        </w:rPr>
        <w:t xml:space="preserve">     </w:t>
      </w:r>
      <w:r>
        <w:rPr>
          <w:b/>
          <w:bCs/>
          <w:sz w:val="28"/>
          <w:szCs w:val="28"/>
        </w:rPr>
        <w:t>А. Балога</w:t>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r>
    </w:p>
    <w:p>
      <w:pPr>
        <w:pStyle w:val="Normal"/>
        <w:jc w:val="center"/>
        <w:rPr>
          <w:b/>
          <w:b/>
          <w:bCs/>
          <w:color w:val="000000"/>
          <w:sz w:val="28"/>
          <w:szCs w:val="28"/>
        </w:rPr>
      </w:pPr>
      <w:r>
        <w:rPr>
          <w:b/>
          <w:bCs/>
          <w:color w:val="000000"/>
          <w:sz w:val="28"/>
          <w:szCs w:val="28"/>
        </w:rPr>
        <w:t>Аналіз регуляторного впливу</w:t>
      </w:r>
    </w:p>
    <w:p>
      <w:pPr>
        <w:pStyle w:val="Normal"/>
        <w:jc w:val="center"/>
        <w:rPr>
          <w:bCs/>
          <w:color w:val="000000"/>
          <w:sz w:val="28"/>
          <w:szCs w:val="28"/>
        </w:rPr>
      </w:pPr>
      <w:r>
        <w:rPr>
          <w:b/>
          <w:bCs/>
          <w:color w:val="000000"/>
          <w:sz w:val="28"/>
          <w:szCs w:val="28"/>
        </w:rPr>
        <w:t>проєкту рішення виконавчого комітету Мукачівської міської ради</w:t>
      </w:r>
    </w:p>
    <w:p>
      <w:pPr>
        <w:pStyle w:val="Normal"/>
        <w:spacing w:lineRule="auto" w:line="235"/>
        <w:ind w:left="260" w:hanging="0"/>
        <w:jc w:val="center"/>
        <w:rPr>
          <w:sz w:val="28"/>
        </w:rPr>
      </w:pPr>
      <w:r>
        <w:rPr>
          <w:sz w:val="28"/>
        </w:rPr>
        <w:t xml:space="preserve"> </w:t>
      </w:r>
      <w:r>
        <w:rPr>
          <w:sz w:val="28"/>
        </w:rPr>
        <w:t xml:space="preserve">«Про затвердження тарифу на перевезення пасажирів автобусними маршрутами </w:t>
      </w:r>
      <w:r>
        <w:rPr>
          <w:sz w:val="28"/>
          <w:szCs w:val="28"/>
        </w:rPr>
        <w:t xml:space="preserve">загального користування в </w:t>
      </w:r>
      <w:r>
        <w:rPr>
          <w:sz w:val="28"/>
        </w:rPr>
        <w:t>м. Мукачево»</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jc w:val="both"/>
        <w:rPr>
          <w:color w:val="000000"/>
          <w:sz w:val="28"/>
          <w:szCs w:val="28"/>
        </w:rPr>
      </w:pPr>
      <w:r>
        <w:rPr>
          <w:b/>
          <w:bCs/>
          <w:color w:val="000000"/>
          <w:sz w:val="28"/>
          <w:szCs w:val="28"/>
        </w:rPr>
        <w:t>Назва регуляторного акта</w:t>
      </w:r>
      <w:r>
        <w:rPr>
          <w:color w:val="000000"/>
          <w:sz w:val="28"/>
          <w:szCs w:val="28"/>
        </w:rPr>
        <w:t>: проєкт рішення виконавчого комітету Мукачівської міської ради від _____ 2019 року №___ «</w:t>
      </w:r>
      <w:r>
        <w:rPr>
          <w:sz w:val="28"/>
        </w:rPr>
        <w:t xml:space="preserve">Про затвердження тарифу на перевезення пасажирів автобусними маршрутами </w:t>
      </w:r>
      <w:r>
        <w:rPr>
          <w:sz w:val="28"/>
          <w:szCs w:val="28"/>
        </w:rPr>
        <w:t xml:space="preserve">загального користування в        </w:t>
      </w:r>
      <w:r>
        <w:rPr>
          <w:sz w:val="28"/>
        </w:rPr>
        <w:t>м. Мукачево</w:t>
      </w:r>
      <w:r>
        <w:rPr>
          <w:color w:val="000000"/>
          <w:sz w:val="28"/>
          <w:szCs w:val="28"/>
        </w:rPr>
        <w:t>»;</w:t>
      </w:r>
    </w:p>
    <w:p>
      <w:pPr>
        <w:pStyle w:val="Normal"/>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pPr>
        <w:pStyle w:val="Normal"/>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pPr>
        <w:pStyle w:val="Normal"/>
        <w:jc w:val="both"/>
        <w:rPr>
          <w:color w:val="000000"/>
          <w:sz w:val="28"/>
          <w:szCs w:val="28"/>
        </w:rPr>
      </w:pPr>
      <w:r>
        <w:rPr>
          <w:b/>
          <w:bCs/>
          <w:color w:val="000000"/>
          <w:sz w:val="28"/>
          <w:szCs w:val="28"/>
        </w:rPr>
        <w:t>Відповідальна особа:</w:t>
      </w:r>
      <w:r>
        <w:rPr>
          <w:color w:val="000000"/>
          <w:sz w:val="28"/>
          <w:szCs w:val="28"/>
        </w:rPr>
        <w:t xml:space="preserve"> Гасинець Вячеслав Омелянович</w:t>
      </w:r>
    </w:p>
    <w:p>
      <w:pPr>
        <w:pStyle w:val="Normal"/>
        <w:jc w:val="both"/>
        <w:rPr>
          <w:color w:val="000000"/>
          <w:sz w:val="28"/>
          <w:szCs w:val="28"/>
        </w:rPr>
      </w:pPr>
      <w:r>
        <w:rPr>
          <w:b/>
          <w:bCs/>
          <w:color w:val="000000"/>
          <w:sz w:val="28"/>
          <w:szCs w:val="28"/>
        </w:rPr>
        <w:t>Контактний телефон:</w:t>
      </w:r>
      <w:r>
        <w:rPr>
          <w:color w:val="000000"/>
          <w:sz w:val="28"/>
          <w:szCs w:val="28"/>
        </w:rPr>
        <w:t xml:space="preserve"> 2-30-48</w:t>
      </w:r>
    </w:p>
    <w:p>
      <w:pPr>
        <w:pStyle w:val="Normal"/>
        <w:spacing w:lineRule="exact" w:line="346"/>
        <w:jc w:val="center"/>
        <w:rPr/>
      </w:pPr>
      <w:r>
        <w:rPr/>
      </w:r>
    </w:p>
    <w:p>
      <w:pPr>
        <w:pStyle w:val="Normal"/>
        <w:spacing w:lineRule="auto" w:line="232"/>
        <w:ind w:left="260" w:right="20" w:hanging="0"/>
        <w:jc w:val="center"/>
        <w:rPr>
          <w:b/>
          <w:b/>
          <w:sz w:val="28"/>
        </w:rPr>
      </w:pPr>
      <w:r>
        <w:rPr>
          <w:b/>
          <w:sz w:val="28"/>
        </w:rPr>
        <w:t>I. Визначення проблеми, яку передбачається розв'язати шляхом регулювання</w:t>
      </w:r>
    </w:p>
    <w:p>
      <w:pPr>
        <w:pStyle w:val="Normal"/>
        <w:spacing w:lineRule="auto" w:line="232"/>
        <w:ind w:left="260" w:right="20" w:hanging="0"/>
        <w:jc w:val="center"/>
        <w:rPr>
          <w:b/>
          <w:b/>
          <w:sz w:val="28"/>
        </w:rPr>
      </w:pPr>
      <w:r>
        <w:rPr>
          <w:b/>
          <w:sz w:val="28"/>
        </w:rPr>
      </w:r>
    </w:p>
    <w:p>
      <w:pPr>
        <w:pStyle w:val="Normal"/>
        <w:spacing w:lineRule="exact" w:line="22"/>
        <w:rPr/>
      </w:pPr>
      <w:r>
        <w:rPr/>
      </w:r>
    </w:p>
    <w:p>
      <w:pPr>
        <w:pStyle w:val="Normal"/>
        <w:ind w:firstLine="566"/>
        <w:jc w:val="both"/>
        <w:rPr>
          <w:sz w:val="28"/>
        </w:rPr>
      </w:pPr>
      <w:r>
        <w:rPr>
          <w:sz w:val="28"/>
        </w:rPr>
        <w:t xml:space="preserve">На сьогоднішній день у місті Мукачево діє рішення виконавчого комітету Мукачівської міської ради від </w:t>
      </w:r>
      <w:r>
        <w:rPr>
          <w:sz w:val="28"/>
          <w:szCs w:val="28"/>
        </w:rPr>
        <w:t>02.05.2018р. № 123 «Про тарифи на перевезення пасажирів міськими автобусними маршрутами»</w:t>
      </w:r>
      <w:r>
        <w:rPr>
          <w:sz w:val="28"/>
        </w:rPr>
        <w:t>, яким установлено тариф на перевезення одного пасажира автобусами міського сполучення, що працюють в режимі руху «маршрутне таксі» в розмірі 5 грн.</w:t>
      </w:r>
    </w:p>
    <w:p>
      <w:pPr>
        <w:pStyle w:val="Normal"/>
        <w:ind w:firstLine="566"/>
        <w:jc w:val="both"/>
        <w:rPr>
          <w:sz w:val="28"/>
        </w:rPr>
      </w:pPr>
      <w:r>
        <w:rPr>
          <w:sz w:val="28"/>
        </w:rPr>
        <w:t>В місті Мукачево послуги з пасажирських перевезень надає Мукачівське міське комунальне підприємство «Мукачівпастранс», ТОВ «Перевізник-Мукачево» та дев’ять фізичних осіб-підприємців, що загалом складає 11 перевізників (станом на листопад 2019р.), які забезпечують транспортними послугами мешканців та гостей міста Мукачево.</w:t>
      </w:r>
    </w:p>
    <w:p>
      <w:pPr>
        <w:pStyle w:val="Normal"/>
        <w:ind w:firstLine="566"/>
        <w:jc w:val="both"/>
        <w:rPr>
          <w:sz w:val="28"/>
        </w:rPr>
      </w:pPr>
      <w:r>
        <w:rPr>
          <w:sz w:val="28"/>
        </w:rPr>
        <w:t xml:space="preserve">Так до виконавчого комітету Мукачівської міської ради надходили неодноразові звернення перевізників та пропозиції щодо встановлення нового тарифу на послуги з пасажирських перевезень, розроблені відповідно до вимог Методики розрахунку тарифів на послуги пасажирського автомобільного транспорту, затвердженої Наказом Міністерства транспорту та зв'язку України від 17 листопада 2009 року № 1175 (надалі – Методика). </w:t>
      </w:r>
    </w:p>
    <w:p>
      <w:pPr>
        <w:pStyle w:val="Normal"/>
        <w:ind w:firstLine="566"/>
        <w:jc w:val="both"/>
        <w:rPr>
          <w:sz w:val="28"/>
        </w:rPr>
      </w:pPr>
      <w:r>
        <w:rPr>
          <w:sz w:val="28"/>
        </w:rPr>
        <w:t xml:space="preserve">В зверненнях зазначалось, що основними підставами для прийняття нового тарифу є зростання цін на паливо-мастильні матеріали, шини, інші матеріали та складники, що використовуються безпосередньо для забезпечення виконання перевезень пасажирів і обслуговуванні транспортних засобів, зріс рівень мінімальної заробітної плати. </w:t>
      </w:r>
      <w:r>
        <w:rPr>
          <w:rStyle w:val="Fontstyle01"/>
        </w:rPr>
        <w:t>Як наслідок, знизилась</w:t>
      </w:r>
      <w:r>
        <w:rPr>
          <w:rFonts w:ascii="TimesNewRoman" w:hAnsi="TimesNewRoman"/>
          <w:color w:val="000000"/>
          <w:sz w:val="28"/>
          <w:szCs w:val="28"/>
        </w:rPr>
        <w:t xml:space="preserve"> </w:t>
      </w:r>
      <w:r>
        <w:rPr>
          <w:rStyle w:val="Fontstyle01"/>
        </w:rPr>
        <w:t>якість надання послуг з перевезення пасажирів, що викликає багато нарікань</w:t>
      </w:r>
      <w:r>
        <w:rPr>
          <w:rFonts w:ascii="TimesNewRoman" w:hAnsi="TimesNewRoman"/>
          <w:color w:val="000000"/>
          <w:sz w:val="28"/>
          <w:szCs w:val="28"/>
        </w:rPr>
        <w:t xml:space="preserve"> </w:t>
      </w:r>
      <w:r>
        <w:rPr>
          <w:rStyle w:val="Fontstyle01"/>
        </w:rPr>
        <w:t xml:space="preserve">зі сторони мешканців міста. </w:t>
      </w:r>
    </w:p>
    <w:p>
      <w:pPr>
        <w:pStyle w:val="Normal"/>
        <w:ind w:firstLine="566"/>
        <w:jc w:val="both"/>
        <w:rPr>
          <w:sz w:val="28"/>
        </w:rPr>
      </w:pPr>
      <w:r>
        <w:rPr>
          <w:sz w:val="28"/>
        </w:rPr>
        <w:t>У зв’язку зі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p>
    <w:p>
      <w:pPr>
        <w:pStyle w:val="Normal"/>
        <w:ind w:firstLine="566"/>
        <w:jc w:val="both"/>
        <w:rPr>
          <w:sz w:val="28"/>
        </w:rPr>
      </w:pPr>
      <w:r>
        <w:rPr>
          <w:sz w:val="28"/>
        </w:rPr>
        <w:t>Відповідно до статті 10 Закону України «Про автомобільний транспорт» тарифна політика в цій галузі має задовольняти підприємницький інтерес, забезпечувати розвиток автомобільного транспорту, а також сприяти вирішенню низки інших важливих завдань.</w:t>
      </w:r>
    </w:p>
    <w:p>
      <w:pPr>
        <w:pStyle w:val="Normal"/>
        <w:ind w:firstLine="566"/>
        <w:jc w:val="both"/>
        <w:rPr>
          <w:sz w:val="28"/>
        </w:rPr>
      </w:pPr>
      <w:bookmarkStart w:id="5" w:name="page3"/>
      <w:bookmarkEnd w:id="5"/>
      <w:r>
        <w:rPr>
          <w:sz w:val="28"/>
        </w:rPr>
        <w:t>На теперішній час, при встановленому тарифі у розмірі 5 грн., тариф не відшкодовує в повному обсязі витрати на послуги перевізників.</w:t>
      </w:r>
    </w:p>
    <w:p>
      <w:pPr>
        <w:pStyle w:val="Normal"/>
        <w:ind w:firstLine="566"/>
        <w:jc w:val="both"/>
        <w:rPr>
          <w:sz w:val="28"/>
        </w:rPr>
      </w:pPr>
      <w:r>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pPr>
        <w:pStyle w:val="Normal"/>
        <w:ind w:firstLine="566"/>
        <w:jc w:val="both"/>
        <w:rPr>
          <w:sz w:val="28"/>
        </w:rPr>
      </w:pPr>
      <w:r>
        <w:rPr>
          <w:sz w:val="28"/>
        </w:rPr>
        <w:t>Відтак, для забезпечення балансу інтересів органу місцевого самоврядування, пасажирів – користувачів послуг та перевізників – надавачів послуг, є необхідність у прийнятті даного регуляторного акта, яким тариф на перевезення у громадському транспорті міста буде встановлено на рівні 7 грн., що встановить певний баланс між інтересами громади міста, суб'єктами господарювання в сфері надання послуг з перевезення пасажирів міським автотранспортом загального користування та органом місцевого самоврядування.</w:t>
      </w:r>
    </w:p>
    <w:p>
      <w:pPr>
        <w:pStyle w:val="Normal"/>
        <w:spacing w:lineRule="auto" w:line="237"/>
        <w:ind w:firstLine="566"/>
        <w:jc w:val="both"/>
        <w:rPr>
          <w:sz w:val="28"/>
        </w:rPr>
      </w:pPr>
      <w:r>
        <w:rPr>
          <w:sz w:val="28"/>
        </w:rPr>
      </w:r>
    </w:p>
    <w:tbl>
      <w:tblPr>
        <w:tblStyle w:val="afb"/>
        <w:tblW w:w="9605" w:type="dxa"/>
        <w:jc w:val="left"/>
        <w:tblInd w:w="0" w:type="dxa"/>
        <w:tblCellMar>
          <w:top w:w="0" w:type="dxa"/>
          <w:left w:w="108" w:type="dxa"/>
          <w:bottom w:w="0" w:type="dxa"/>
          <w:right w:w="108" w:type="dxa"/>
        </w:tblCellMar>
        <w:tblLook w:firstRow="1" w:noVBand="1" w:lastRow="0" w:firstColumn="1" w:lastColumn="0" w:noHBand="0" w:val="04a0"/>
      </w:tblPr>
      <w:tblGrid>
        <w:gridCol w:w="4530"/>
        <w:gridCol w:w="2552"/>
        <w:gridCol w:w="2523"/>
      </w:tblGrid>
      <w:tr>
        <w:trPr/>
        <w:tc>
          <w:tcPr>
            <w:tcW w:w="4530" w:type="dxa"/>
            <w:tcBorders/>
            <w:shd w:fill="auto" w:val="clear"/>
            <w:tcMar>
              <w:left w:w="108" w:type="dxa"/>
            </w:tcMar>
            <w:vAlign w:val="center"/>
          </w:tcPr>
          <w:p>
            <w:pPr>
              <w:pStyle w:val="Default"/>
              <w:jc w:val="center"/>
              <w:rPr>
                <w:b/>
                <w:b/>
                <w:sz w:val="28"/>
                <w:szCs w:val="28"/>
                <w:lang w:val="uk-UA"/>
              </w:rPr>
            </w:pPr>
            <w:r>
              <w:rPr>
                <w:b/>
                <w:sz w:val="28"/>
                <w:szCs w:val="28"/>
                <w:lang w:val="uk-UA"/>
              </w:rPr>
              <w:t>Групи (підгрупи)</w:t>
            </w:r>
          </w:p>
        </w:tc>
        <w:tc>
          <w:tcPr>
            <w:tcW w:w="2552" w:type="dxa"/>
            <w:tcBorders/>
            <w:shd w:fill="auto" w:val="clear"/>
            <w:tcMar>
              <w:left w:w="108" w:type="dxa"/>
            </w:tcMar>
            <w:vAlign w:val="center"/>
          </w:tcPr>
          <w:p>
            <w:pPr>
              <w:pStyle w:val="Default"/>
              <w:jc w:val="center"/>
              <w:rPr>
                <w:b/>
                <w:b/>
                <w:sz w:val="28"/>
                <w:szCs w:val="28"/>
                <w:lang w:val="uk-UA"/>
              </w:rPr>
            </w:pPr>
            <w:r>
              <w:rPr>
                <w:b/>
                <w:sz w:val="28"/>
                <w:szCs w:val="28"/>
                <w:lang w:val="uk-UA"/>
              </w:rPr>
              <w:t>Так</w:t>
            </w:r>
          </w:p>
        </w:tc>
        <w:tc>
          <w:tcPr>
            <w:tcW w:w="2523" w:type="dxa"/>
            <w:tcBorders/>
            <w:shd w:fill="auto" w:val="clear"/>
            <w:tcMar>
              <w:left w:w="108" w:type="dxa"/>
            </w:tcMar>
            <w:vAlign w:val="center"/>
          </w:tcPr>
          <w:p>
            <w:pPr>
              <w:pStyle w:val="Default"/>
              <w:jc w:val="center"/>
              <w:rPr>
                <w:b/>
                <w:b/>
                <w:sz w:val="28"/>
                <w:szCs w:val="28"/>
                <w:lang w:val="uk-UA"/>
              </w:rPr>
            </w:pPr>
            <w:r>
              <w:rPr>
                <w:b/>
                <w:sz w:val="28"/>
                <w:szCs w:val="28"/>
                <w:lang w:val="uk-UA"/>
              </w:rPr>
              <w:t>Ні</w:t>
            </w:r>
          </w:p>
        </w:tc>
      </w:tr>
      <w:tr>
        <w:trPr>
          <w:trHeight w:val="447" w:hRule="atLeast"/>
        </w:trPr>
        <w:tc>
          <w:tcPr>
            <w:tcW w:w="4530" w:type="dxa"/>
            <w:tcBorders/>
            <w:shd w:fill="auto" w:val="clear"/>
            <w:tcMar>
              <w:left w:w="108" w:type="dxa"/>
            </w:tcMar>
            <w:vAlign w:val="center"/>
          </w:tcPr>
          <w:p>
            <w:pPr>
              <w:pStyle w:val="Default"/>
              <w:jc w:val="both"/>
              <w:rPr>
                <w:sz w:val="28"/>
                <w:szCs w:val="28"/>
                <w:lang w:val="uk-UA"/>
              </w:rPr>
            </w:pPr>
            <w:r>
              <w:rPr>
                <w:sz w:val="28"/>
                <w:szCs w:val="28"/>
                <w:lang w:val="uk-UA"/>
              </w:rPr>
              <w:t xml:space="preserve">Громадяни </w:t>
            </w:r>
          </w:p>
        </w:tc>
        <w:tc>
          <w:tcPr>
            <w:tcW w:w="2552" w:type="dxa"/>
            <w:tcBorders/>
            <w:shd w:fill="auto" w:val="clear"/>
            <w:tcMar>
              <w:left w:w="108" w:type="dxa"/>
            </w:tcMar>
          </w:tcPr>
          <w:p>
            <w:pPr>
              <w:pStyle w:val="Normal"/>
              <w:spacing w:lineRule="auto" w:line="237"/>
              <w:jc w:val="center"/>
              <w:rPr>
                <w:b/>
                <w:b/>
                <w:bCs/>
                <w:sz w:val="28"/>
              </w:rPr>
            </w:pPr>
            <w:r>
              <w:rPr>
                <w:b/>
                <w:bCs/>
                <w:sz w:val="28"/>
              </w:rPr>
              <w:t>+</w:t>
            </w:r>
          </w:p>
        </w:tc>
        <w:tc>
          <w:tcPr>
            <w:tcW w:w="2523" w:type="dxa"/>
            <w:tcBorders/>
            <w:shd w:fill="auto" w:val="clear"/>
            <w:tcMar>
              <w:left w:w="108" w:type="dxa"/>
            </w:tcMar>
          </w:tcPr>
          <w:p>
            <w:pPr>
              <w:pStyle w:val="Normal"/>
              <w:spacing w:lineRule="auto" w:line="237"/>
              <w:jc w:val="both"/>
              <w:rPr>
                <w:sz w:val="28"/>
              </w:rPr>
            </w:pPr>
            <w:r>
              <w:rPr>
                <w:sz w:val="28"/>
              </w:rPr>
            </w:r>
          </w:p>
        </w:tc>
      </w:tr>
      <w:tr>
        <w:trPr>
          <w:trHeight w:val="425" w:hRule="atLeast"/>
        </w:trPr>
        <w:tc>
          <w:tcPr>
            <w:tcW w:w="4530" w:type="dxa"/>
            <w:tcBorders/>
            <w:shd w:fill="auto" w:val="clear"/>
            <w:tcMar>
              <w:left w:w="108" w:type="dxa"/>
            </w:tcMar>
            <w:vAlign w:val="center"/>
          </w:tcPr>
          <w:p>
            <w:pPr>
              <w:pStyle w:val="Default"/>
              <w:jc w:val="both"/>
              <w:rPr>
                <w:sz w:val="28"/>
                <w:szCs w:val="28"/>
                <w:lang w:val="uk-UA"/>
              </w:rPr>
            </w:pPr>
            <w:r>
              <w:rPr>
                <w:sz w:val="28"/>
                <w:szCs w:val="28"/>
                <w:lang w:val="uk-UA"/>
              </w:rPr>
              <w:t>Держава (територіальна громада)</w:t>
            </w:r>
          </w:p>
        </w:tc>
        <w:tc>
          <w:tcPr>
            <w:tcW w:w="2552" w:type="dxa"/>
            <w:tcBorders/>
            <w:shd w:fill="auto" w:val="clear"/>
            <w:tcMar>
              <w:left w:w="108" w:type="dxa"/>
            </w:tcMar>
          </w:tcPr>
          <w:p>
            <w:pPr>
              <w:pStyle w:val="Normal"/>
              <w:spacing w:lineRule="auto" w:line="237"/>
              <w:jc w:val="center"/>
              <w:rPr>
                <w:b/>
                <w:b/>
                <w:bCs/>
                <w:sz w:val="28"/>
              </w:rPr>
            </w:pPr>
            <w:r>
              <w:rPr>
                <w:b/>
                <w:bCs/>
                <w:sz w:val="28"/>
              </w:rPr>
              <w:t>+</w:t>
            </w:r>
          </w:p>
        </w:tc>
        <w:tc>
          <w:tcPr>
            <w:tcW w:w="2523" w:type="dxa"/>
            <w:tcBorders/>
            <w:shd w:fill="auto" w:val="clear"/>
            <w:tcMar>
              <w:left w:w="108" w:type="dxa"/>
            </w:tcMar>
          </w:tcPr>
          <w:p>
            <w:pPr>
              <w:pStyle w:val="Normal"/>
              <w:spacing w:lineRule="auto" w:line="237"/>
              <w:jc w:val="both"/>
              <w:rPr>
                <w:sz w:val="28"/>
              </w:rPr>
            </w:pPr>
            <w:r>
              <w:rPr>
                <w:sz w:val="28"/>
              </w:rPr>
            </w:r>
          </w:p>
        </w:tc>
      </w:tr>
      <w:tr>
        <w:trPr>
          <w:trHeight w:val="403" w:hRule="atLeast"/>
        </w:trPr>
        <w:tc>
          <w:tcPr>
            <w:tcW w:w="4530" w:type="dxa"/>
            <w:tcBorders/>
            <w:shd w:fill="auto" w:val="clear"/>
            <w:tcMar>
              <w:left w:w="108" w:type="dxa"/>
            </w:tcMar>
            <w:vAlign w:val="center"/>
          </w:tcPr>
          <w:p>
            <w:pPr>
              <w:pStyle w:val="Default"/>
              <w:jc w:val="both"/>
              <w:rPr>
                <w:sz w:val="28"/>
                <w:szCs w:val="28"/>
                <w:lang w:val="uk-UA"/>
              </w:rPr>
            </w:pPr>
            <w:r>
              <w:rPr>
                <w:sz w:val="28"/>
                <w:szCs w:val="28"/>
                <w:lang w:val="uk-UA"/>
              </w:rPr>
              <w:t xml:space="preserve">Суб’єкти господарювання, </w:t>
            </w:r>
          </w:p>
        </w:tc>
        <w:tc>
          <w:tcPr>
            <w:tcW w:w="2552" w:type="dxa"/>
            <w:tcBorders/>
            <w:shd w:fill="auto" w:val="clear"/>
            <w:tcMar>
              <w:left w:w="108" w:type="dxa"/>
            </w:tcMar>
          </w:tcPr>
          <w:p>
            <w:pPr>
              <w:pStyle w:val="Normal"/>
              <w:spacing w:lineRule="auto" w:line="237"/>
              <w:jc w:val="center"/>
              <w:rPr>
                <w:b/>
                <w:b/>
                <w:bCs/>
                <w:sz w:val="28"/>
              </w:rPr>
            </w:pPr>
            <w:r>
              <w:rPr>
                <w:b/>
                <w:bCs/>
                <w:sz w:val="28"/>
              </w:rPr>
              <w:t>+</w:t>
            </w:r>
          </w:p>
        </w:tc>
        <w:tc>
          <w:tcPr>
            <w:tcW w:w="2523" w:type="dxa"/>
            <w:tcBorders/>
            <w:shd w:fill="auto" w:val="clear"/>
            <w:tcMar>
              <w:left w:w="108" w:type="dxa"/>
            </w:tcMar>
          </w:tcPr>
          <w:p>
            <w:pPr>
              <w:pStyle w:val="Normal"/>
              <w:spacing w:lineRule="auto" w:line="237"/>
              <w:jc w:val="both"/>
              <w:rPr>
                <w:sz w:val="28"/>
              </w:rPr>
            </w:pPr>
            <w:r>
              <w:rPr>
                <w:sz w:val="28"/>
              </w:rPr>
            </w:r>
          </w:p>
        </w:tc>
      </w:tr>
      <w:tr>
        <w:trPr/>
        <w:tc>
          <w:tcPr>
            <w:tcW w:w="4530" w:type="dxa"/>
            <w:tcBorders/>
            <w:shd w:fill="auto" w:val="clear"/>
            <w:tcMar>
              <w:left w:w="108" w:type="dxa"/>
            </w:tcMar>
            <w:vAlign w:val="center"/>
          </w:tcPr>
          <w:p>
            <w:pPr>
              <w:pStyle w:val="Default"/>
              <w:jc w:val="both"/>
              <w:rPr>
                <w:sz w:val="28"/>
                <w:szCs w:val="28"/>
                <w:lang w:val="uk-UA"/>
              </w:rPr>
            </w:pPr>
            <w:r>
              <w:rPr>
                <w:sz w:val="28"/>
                <w:szCs w:val="28"/>
                <w:lang w:val="uk-UA"/>
              </w:rPr>
              <w:t>у тому числі суб’єкти малого підприємництва</w:t>
            </w:r>
          </w:p>
        </w:tc>
        <w:tc>
          <w:tcPr>
            <w:tcW w:w="2552" w:type="dxa"/>
            <w:tcBorders/>
            <w:shd w:fill="auto" w:val="clear"/>
            <w:tcMar>
              <w:left w:w="108" w:type="dxa"/>
            </w:tcMar>
          </w:tcPr>
          <w:p>
            <w:pPr>
              <w:pStyle w:val="Normal"/>
              <w:spacing w:lineRule="auto" w:line="237"/>
              <w:jc w:val="center"/>
              <w:rPr>
                <w:b/>
                <w:b/>
                <w:bCs/>
                <w:sz w:val="28"/>
              </w:rPr>
            </w:pPr>
            <w:r>
              <w:rPr>
                <w:b/>
                <w:bCs/>
                <w:sz w:val="28"/>
              </w:rPr>
              <w:t>+</w:t>
            </w:r>
          </w:p>
        </w:tc>
        <w:tc>
          <w:tcPr>
            <w:tcW w:w="2523" w:type="dxa"/>
            <w:tcBorders/>
            <w:shd w:fill="auto" w:val="clear"/>
            <w:tcMar>
              <w:left w:w="108" w:type="dxa"/>
            </w:tcMar>
          </w:tcPr>
          <w:p>
            <w:pPr>
              <w:pStyle w:val="Normal"/>
              <w:spacing w:lineRule="auto" w:line="237"/>
              <w:jc w:val="both"/>
              <w:rPr>
                <w:sz w:val="28"/>
              </w:rPr>
            </w:pPr>
            <w:r>
              <w:rPr>
                <w:sz w:val="28"/>
              </w:rPr>
            </w:r>
          </w:p>
        </w:tc>
      </w:tr>
    </w:tbl>
    <w:p>
      <w:pPr>
        <w:pStyle w:val="Normal"/>
        <w:spacing w:lineRule="auto" w:line="237"/>
        <w:jc w:val="both"/>
        <w:rPr>
          <w:sz w:val="28"/>
        </w:rPr>
      </w:pPr>
      <w:r>
        <w:rPr>
          <w:sz w:val="28"/>
        </w:rPr>
      </w:r>
    </w:p>
    <w:p>
      <w:pPr>
        <w:pStyle w:val="Normal"/>
        <w:spacing w:lineRule="auto"/>
        <w:ind w:right="-239" w:hanging="0"/>
        <w:jc w:val="center"/>
        <w:rPr>
          <w:b/>
          <w:b/>
          <w:sz w:val="28"/>
        </w:rPr>
      </w:pPr>
      <w:r>
        <w:rPr>
          <w:b/>
          <w:sz w:val="28"/>
        </w:rPr>
        <w:t>II. Цілі державного регулювання</w:t>
      </w:r>
    </w:p>
    <w:p>
      <w:pPr>
        <w:pStyle w:val="Normal"/>
        <w:spacing w:lineRule="exact" w:line="337"/>
        <w:rPr/>
      </w:pPr>
      <w:r>
        <w:rPr/>
      </w:r>
    </w:p>
    <w:p>
      <w:pPr>
        <w:pStyle w:val="Normal"/>
        <w:spacing w:lineRule="auto" w:line="237"/>
        <w:ind w:firstLine="510"/>
        <w:jc w:val="both"/>
        <w:rPr>
          <w:sz w:val="28"/>
        </w:rPr>
      </w:pPr>
      <w:r>
        <w:rPr>
          <w:sz w:val="28"/>
        </w:rPr>
        <w:t>Цілями державного регулювання є встановлення в місті Мукачево тарифу на перевезення одного пасажира автобусами міського сполучення, що працюють у режимі руху «маршрутне таксі»,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 послуг та автоперевізників від провадження збиткової господарської діяльності.</w:t>
      </w:r>
    </w:p>
    <w:p>
      <w:pPr>
        <w:pStyle w:val="Normal"/>
        <w:spacing w:lineRule="exact" w:line="325"/>
        <w:rPr/>
      </w:pPr>
      <w:r>
        <w:rPr/>
      </w:r>
    </w:p>
    <w:p>
      <w:pPr>
        <w:pStyle w:val="Normal"/>
        <w:numPr>
          <w:ilvl w:val="0"/>
          <w:numId w:val="3"/>
        </w:numPr>
        <w:tabs>
          <w:tab w:val="left" w:pos="1060" w:leader="none"/>
        </w:tabs>
        <w:suppressAutoHyphens w:val="false"/>
        <w:spacing w:lineRule="auto"/>
        <w:ind w:left="1060" w:hanging="550"/>
        <w:rPr>
          <w:b/>
          <w:b/>
          <w:sz w:val="28"/>
        </w:rPr>
      </w:pPr>
      <w:r>
        <w:rPr>
          <w:b/>
          <w:sz w:val="28"/>
        </w:rPr>
        <w:t>Визначення та оцінка альтернативних способів досягнення цілей</w:t>
      </w:r>
    </w:p>
    <w:p>
      <w:pPr>
        <w:pStyle w:val="Normal"/>
        <w:tabs>
          <w:tab w:val="left" w:pos="1020" w:leader="none"/>
        </w:tabs>
        <w:suppressAutoHyphens w:val="false"/>
        <w:spacing w:lineRule="auto"/>
        <w:rPr>
          <w:b/>
          <w:b/>
          <w:sz w:val="28"/>
        </w:rPr>
      </w:pPr>
      <w:r>
        <w:rPr>
          <w:b/>
          <w:sz w:val="28"/>
        </w:rPr>
      </w:r>
    </w:p>
    <w:p>
      <w:pPr>
        <w:pStyle w:val="Normal"/>
        <w:tabs>
          <w:tab w:val="left" w:pos="1020" w:leader="none"/>
        </w:tabs>
        <w:suppressAutoHyphens w:val="false"/>
        <w:spacing w:lineRule="auto"/>
        <w:rPr>
          <w:b/>
          <w:b/>
          <w:sz w:val="28"/>
        </w:rPr>
      </w:pPr>
      <w:r>
        <w:rPr>
          <w:b/>
          <w:sz w:val="28"/>
        </w:rPr>
        <w:t>1. Визначення альтернативних способів:</w:t>
      </w:r>
    </w:p>
    <w:p>
      <w:pPr>
        <w:pStyle w:val="Normal"/>
        <w:tabs>
          <w:tab w:val="left" w:pos="1020" w:leader="none"/>
        </w:tabs>
        <w:suppressAutoHyphens w:val="false"/>
        <w:spacing w:lineRule="auto"/>
        <w:rPr>
          <w:bCs/>
          <w:sz w:val="28"/>
        </w:rPr>
      </w:pPr>
      <w:r>
        <w:rPr>
          <w:bCs/>
          <w:sz w:val="28"/>
        </w:rPr>
      </w:r>
    </w:p>
    <w:tbl>
      <w:tblPr>
        <w:tblStyle w:val="afb"/>
        <w:tblW w:w="9606" w:type="dxa"/>
        <w:jc w:val="left"/>
        <w:tblInd w:w="0" w:type="dxa"/>
        <w:tblCellMar>
          <w:top w:w="0" w:type="dxa"/>
          <w:left w:w="108" w:type="dxa"/>
          <w:bottom w:w="0" w:type="dxa"/>
          <w:right w:w="108" w:type="dxa"/>
        </w:tblCellMar>
        <w:tblLook w:firstRow="1" w:noVBand="1" w:lastRow="0" w:firstColumn="1" w:lastColumn="0" w:noHBand="0" w:val="04a0"/>
      </w:tblPr>
      <w:tblGrid>
        <w:gridCol w:w="3114"/>
        <w:gridCol w:w="6491"/>
      </w:tblGrid>
      <w:tr>
        <w:trPr/>
        <w:tc>
          <w:tcPr>
            <w:tcW w:w="3114" w:type="dxa"/>
            <w:tcBorders/>
            <w:shd w:fill="auto" w:val="clear"/>
            <w:tcMar>
              <w:left w:w="108" w:type="dxa"/>
            </w:tcMar>
          </w:tcPr>
          <w:p>
            <w:pPr>
              <w:pStyle w:val="Normal"/>
              <w:tabs>
                <w:tab w:val="left" w:pos="1020" w:leader="none"/>
              </w:tabs>
              <w:suppressAutoHyphens w:val="false"/>
              <w:spacing w:lineRule="auto"/>
              <w:rPr>
                <w:b/>
                <w:b/>
                <w:sz w:val="28"/>
              </w:rPr>
            </w:pPr>
            <w:r>
              <w:rPr>
                <w:b/>
                <w:sz w:val="28"/>
              </w:rPr>
              <w:t>Вид альтернативи</w:t>
            </w:r>
          </w:p>
        </w:tc>
        <w:tc>
          <w:tcPr>
            <w:tcW w:w="6491" w:type="dxa"/>
            <w:tcBorders/>
            <w:shd w:fill="auto" w:val="clear"/>
            <w:tcMar>
              <w:left w:w="108" w:type="dxa"/>
            </w:tcMar>
          </w:tcPr>
          <w:p>
            <w:pPr>
              <w:pStyle w:val="Normal"/>
              <w:tabs>
                <w:tab w:val="left" w:pos="1020" w:leader="none"/>
              </w:tabs>
              <w:suppressAutoHyphens w:val="false"/>
              <w:spacing w:lineRule="auto"/>
              <w:rPr>
                <w:b/>
                <w:b/>
                <w:sz w:val="28"/>
              </w:rPr>
            </w:pPr>
            <w:r>
              <w:rPr>
                <w:b/>
                <w:sz w:val="28"/>
              </w:rPr>
              <w:t>Опис альтернативи</w:t>
            </w:r>
          </w:p>
        </w:tc>
      </w:tr>
      <w:tr>
        <w:trPr/>
        <w:tc>
          <w:tcPr>
            <w:tcW w:w="3114" w:type="dxa"/>
            <w:tcBorders/>
            <w:shd w:fill="auto" w:val="clear"/>
            <w:tcMar>
              <w:left w:w="108" w:type="dxa"/>
            </w:tcMar>
          </w:tcPr>
          <w:p>
            <w:pPr>
              <w:pStyle w:val="Normal"/>
              <w:tabs>
                <w:tab w:val="left" w:pos="1020" w:leader="none"/>
              </w:tabs>
              <w:suppressAutoHyphens w:val="false"/>
              <w:spacing w:lineRule="auto"/>
              <w:rPr>
                <w:bCs/>
                <w:sz w:val="28"/>
              </w:rPr>
            </w:pPr>
            <w:r>
              <w:rPr>
                <w:bCs/>
                <w:sz w:val="28"/>
              </w:rPr>
              <w:t>Альтернатива 1</w:t>
            </w:r>
          </w:p>
        </w:tc>
        <w:tc>
          <w:tcPr>
            <w:tcW w:w="6491" w:type="dxa"/>
            <w:tcBorders/>
            <w:shd w:fill="auto" w:val="clear"/>
            <w:tcMar>
              <w:left w:w="108" w:type="dxa"/>
            </w:tcMar>
          </w:tcPr>
          <w:p>
            <w:pPr>
              <w:pStyle w:val="Normal"/>
              <w:tabs>
                <w:tab w:val="left" w:pos="1020" w:leader="none"/>
              </w:tabs>
              <w:suppressAutoHyphens w:val="false"/>
              <w:spacing w:lineRule="auto"/>
              <w:rPr>
                <w:bCs/>
                <w:sz w:val="28"/>
              </w:rPr>
            </w:pPr>
            <w:r>
              <w:rPr>
                <w:bCs/>
                <w:sz w:val="28"/>
              </w:rPr>
              <w:t xml:space="preserve">Залишення діючого рівня тарифу на перевезення пасажирів у м. Мукачево. </w:t>
            </w:r>
            <w:r>
              <w:rPr>
                <w:iCs/>
                <w:color w:val="000000"/>
                <w:sz w:val="28"/>
                <w:szCs w:val="28"/>
              </w:rPr>
              <w:t>При даній альтернативі тариф залишається на рівні встановленому в 2018р. а саме 5 грн. За таких умов тариф не є економічно обґрунтований, що при підвищенні вартості паливо-мастильних матеріалів, запасних частин до автобусів, вартості їх утримання та обслуговування, зростанні мінімальної заробітної плати ставить перевізника в економічно невигідне становище. Так, внаслідок неокупності затрат на пасажирські перевезення, спостерігатиметься значне скорочення кількості виконаних оборотних рейсів, або відмова від їх виконання в повному обсязі і як наслідок припинення надання послуг з пасажирських перевезень</w:t>
            </w:r>
          </w:p>
        </w:tc>
      </w:tr>
      <w:tr>
        <w:trPr/>
        <w:tc>
          <w:tcPr>
            <w:tcW w:w="3114" w:type="dxa"/>
            <w:tcBorders/>
            <w:shd w:fill="auto" w:val="clear"/>
            <w:tcMar>
              <w:left w:w="108" w:type="dxa"/>
            </w:tcMar>
          </w:tcPr>
          <w:p>
            <w:pPr>
              <w:pStyle w:val="Normal"/>
              <w:tabs>
                <w:tab w:val="left" w:pos="1020" w:leader="none"/>
              </w:tabs>
              <w:suppressAutoHyphens w:val="false"/>
              <w:spacing w:lineRule="auto"/>
              <w:rPr>
                <w:bCs/>
                <w:sz w:val="28"/>
              </w:rPr>
            </w:pPr>
            <w:r>
              <w:rPr>
                <w:bCs/>
                <w:sz w:val="28"/>
              </w:rPr>
              <w:t>Альтернатива 2</w:t>
            </w:r>
          </w:p>
        </w:tc>
        <w:tc>
          <w:tcPr>
            <w:tcW w:w="6491" w:type="dxa"/>
            <w:tcBorders/>
            <w:shd w:fill="auto" w:val="clear"/>
            <w:tcMar>
              <w:left w:w="108" w:type="dxa"/>
            </w:tcMar>
          </w:tcPr>
          <w:p>
            <w:pPr>
              <w:pStyle w:val="Normal"/>
              <w:tabs>
                <w:tab w:val="left" w:pos="1020" w:leader="none"/>
              </w:tabs>
              <w:suppressAutoHyphens w:val="false"/>
              <w:spacing w:lineRule="auto"/>
              <w:rPr>
                <w:bCs/>
                <w:sz w:val="28"/>
              </w:rPr>
            </w:pPr>
            <w:r>
              <w:rPr>
                <w:bCs/>
                <w:sz w:val="28"/>
              </w:rPr>
              <w:t>Прийняття даного проєкту рішення</w:t>
            </w:r>
            <w:r>
              <w:rPr>
                <w:sz w:val="28"/>
              </w:rPr>
              <w:t xml:space="preserve"> «Про затвердження тарифу на перевезення пасажирів автобусними маршрутами м. Мукачево».</w:t>
            </w:r>
            <w:r>
              <w:rPr>
                <w:iCs/>
                <w:color w:val="000000"/>
                <w:sz w:val="28"/>
                <w:szCs w:val="28"/>
              </w:rPr>
              <w:t xml:space="preserve"> При обранні даної альтернативи, рішенням виконавчого комітету Мукачівської міської ради буде встановлено економічно обґрунтований тариф, який буде покривати витрати перевізника на обслуговування та утримання транспортних засобів, інші супутні витрати при наданні послуг з пасажирських перевезень, що дозволить виконувати повною мірою всі заплановані оборотні рейси, сприятиме покращенню якості надання послуг, утриманню в належному технічному та санітарному стані транспортних засобів, оновлення рухомого складу.</w:t>
            </w:r>
          </w:p>
        </w:tc>
      </w:tr>
    </w:tbl>
    <w:p>
      <w:pPr>
        <w:pStyle w:val="Normal"/>
        <w:spacing w:beforeAutospacing="1" w:afterAutospacing="1"/>
        <w:ind w:firstLine="708"/>
        <w:jc w:val="both"/>
        <w:rPr>
          <w:sz w:val="28"/>
          <w:szCs w:val="28"/>
          <w:lang w:eastAsia="uk-UA"/>
        </w:rPr>
      </w:pPr>
      <w:r>
        <w:rPr>
          <w:sz w:val="28"/>
          <w:szCs w:val="28"/>
          <w:lang w:eastAsia="uk-UA"/>
        </w:rPr>
        <w:t>Врегулювання зазначених питань за допомогою ринкових механізмів не- можливо і тому в якості альтернативи не розглядається.</w:t>
      </w:r>
    </w:p>
    <w:p>
      <w:pPr>
        <w:pStyle w:val="Normal"/>
        <w:rPr>
          <w:b/>
          <w:b/>
          <w:color w:val="000000"/>
          <w:sz w:val="28"/>
          <w:szCs w:val="28"/>
        </w:rPr>
      </w:pPr>
      <w:r>
        <w:rPr>
          <w:b/>
          <w:color w:val="000000"/>
          <w:sz w:val="28"/>
          <w:szCs w:val="28"/>
        </w:rPr>
        <w:t>2. Оцінка вибраних альтернативних способів досягнення цілей</w:t>
      </w:r>
    </w:p>
    <w:p>
      <w:pPr>
        <w:pStyle w:val="Normal"/>
        <w:jc w:val="both"/>
        <w:rPr>
          <w:b/>
          <w:b/>
          <w:color w:val="000000"/>
          <w:sz w:val="28"/>
          <w:szCs w:val="28"/>
        </w:rPr>
      </w:pPr>
      <w:r>
        <w:rPr>
          <w:b/>
          <w:color w:val="000000"/>
          <w:sz w:val="28"/>
          <w:szCs w:val="28"/>
        </w:rPr>
      </w:r>
    </w:p>
    <w:p>
      <w:pPr>
        <w:pStyle w:val="Normal"/>
        <w:jc w:val="both"/>
        <w:rPr>
          <w:b/>
          <w:b/>
          <w:bCs/>
          <w:color w:val="000000"/>
          <w:sz w:val="28"/>
          <w:szCs w:val="28"/>
        </w:rPr>
      </w:pPr>
      <w:r>
        <w:rPr>
          <w:b/>
          <w:bCs/>
          <w:color w:val="000000"/>
          <w:sz w:val="28"/>
          <w:szCs w:val="28"/>
        </w:rPr>
        <w:t xml:space="preserve">Оцінка впливу на сферу інтересів держави (органу місцевого самоврядування) </w:t>
      </w:r>
    </w:p>
    <w:tbl>
      <w:tblPr>
        <w:tblW w:w="9737"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0" w:noVBand="0" w:lastRow="0" w:firstColumn="0" w:lastColumn="0" w:noHBand="0" w:val="0000"/>
      </w:tblPr>
      <w:tblGrid>
        <w:gridCol w:w="2221"/>
        <w:gridCol w:w="3733"/>
        <w:gridCol w:w="3783"/>
      </w:tblGrid>
      <w:tr>
        <w:trPr/>
        <w:tc>
          <w:tcPr>
            <w:tcW w:w="2221"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Вид альтернативи</w:t>
            </w:r>
          </w:p>
        </w:tc>
        <w:tc>
          <w:tcPr>
            <w:tcW w:w="3733"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Вигоди</w:t>
            </w:r>
          </w:p>
        </w:tc>
        <w:tc>
          <w:tcPr>
            <w:tcW w:w="3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Витрати</w:t>
            </w:r>
          </w:p>
        </w:tc>
      </w:tr>
      <w:tr>
        <w:trPr/>
        <w:tc>
          <w:tcPr>
            <w:tcW w:w="2221"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sz w:val="28"/>
                <w:szCs w:val="28"/>
              </w:rPr>
            </w:pPr>
            <w:r>
              <w:rPr>
                <w:bCs/>
                <w:color w:val="000000"/>
                <w:sz w:val="28"/>
                <w:szCs w:val="28"/>
              </w:rPr>
              <w:t>Альтернатива 1</w:t>
            </w:r>
          </w:p>
        </w:tc>
        <w:tc>
          <w:tcPr>
            <w:tcW w:w="3733"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rPr>
                <w:bCs/>
                <w:color w:val="000000"/>
              </w:rPr>
            </w:pPr>
            <w:r>
              <w:rPr>
                <w:bCs/>
                <w:color w:val="000000"/>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rPr>
                <w:bCs/>
                <w:color w:val="000000"/>
              </w:rPr>
            </w:pPr>
            <w:r>
              <w:rPr>
                <w:bCs/>
                <w:color w:val="000000"/>
              </w:rPr>
              <w:t>Витрати відсутні.</w:t>
            </w:r>
          </w:p>
        </w:tc>
      </w:tr>
      <w:tr>
        <w:trPr/>
        <w:tc>
          <w:tcPr>
            <w:tcW w:w="2221"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sz w:val="28"/>
                <w:szCs w:val="28"/>
              </w:rPr>
            </w:pPr>
            <w:r>
              <w:rPr>
                <w:bCs/>
                <w:color w:val="000000"/>
                <w:sz w:val="28"/>
                <w:szCs w:val="28"/>
              </w:rPr>
              <w:t>Альтернатива 2</w:t>
            </w:r>
          </w:p>
        </w:tc>
        <w:tc>
          <w:tcPr>
            <w:tcW w:w="3733"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rPr>
                <w:bCs/>
                <w:color w:val="000000"/>
              </w:rPr>
            </w:pPr>
            <w:r>
              <w:rPr>
                <w:bCs/>
                <w:color w:val="000000"/>
              </w:rPr>
              <w:t>Забезпечення повноти надходжень до бюджету обов’язкових платежів (податків та зборів). Організація міських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pPr>
              <w:pStyle w:val="Normal"/>
              <w:rPr>
                <w:bCs/>
                <w:color w:val="000000"/>
              </w:rPr>
            </w:pPr>
            <w:r>
              <w:rPr>
                <w:bCs/>
                <w:color w:val="000000"/>
              </w:rPr>
            </w:r>
          </w:p>
        </w:tc>
        <w:tc>
          <w:tcPr>
            <w:tcW w:w="3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rPr>
                <w:bCs/>
                <w:color w:val="FF0000"/>
              </w:rPr>
            </w:pPr>
            <w:r>
              <w:rPr>
                <w:bCs/>
              </w:rPr>
              <w:t>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(2,5 год робочого часу, що складає 2062,5 грн.)</w:t>
            </w:r>
          </w:p>
        </w:tc>
      </w:tr>
    </w:tbl>
    <w:p>
      <w:pPr>
        <w:pStyle w:val="Normal"/>
        <w:tabs>
          <w:tab w:val="left" w:pos="1260" w:leader="none"/>
        </w:tabs>
        <w:suppressAutoHyphens w:val="false"/>
        <w:spacing w:lineRule="auto"/>
        <w:rPr>
          <w:sz w:val="28"/>
        </w:rPr>
      </w:pPr>
      <w:r>
        <w:rPr>
          <w:sz w:val="28"/>
        </w:rPr>
      </w:r>
    </w:p>
    <w:p>
      <w:pPr>
        <w:pStyle w:val="Normal"/>
        <w:tabs>
          <w:tab w:val="left" w:pos="1260" w:leader="none"/>
        </w:tabs>
        <w:suppressAutoHyphens w:val="false"/>
        <w:spacing w:lineRule="auto"/>
        <w:rPr>
          <w:b/>
          <w:b/>
          <w:bCs/>
          <w:sz w:val="28"/>
        </w:rPr>
      </w:pPr>
      <w:r>
        <w:rPr>
          <w:b/>
          <w:bCs/>
          <w:sz w:val="28"/>
        </w:rPr>
        <w:t>Оцінка впливу на сферу інтересів громадян</w:t>
      </w:r>
    </w:p>
    <w:tbl>
      <w:tblPr>
        <w:tblW w:w="974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0" w:noVBand="0" w:lastRow="0" w:firstColumn="0" w:lastColumn="0" w:noHBand="0" w:val="0000"/>
      </w:tblPr>
      <w:tblGrid>
        <w:gridCol w:w="2220"/>
        <w:gridCol w:w="3734"/>
        <w:gridCol w:w="3786"/>
      </w:tblGrid>
      <w:tr>
        <w:trPr/>
        <w:tc>
          <w:tcPr>
            <w:tcW w:w="2220"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Вид альтернативи</w:t>
            </w:r>
          </w:p>
        </w:tc>
        <w:tc>
          <w:tcPr>
            <w:tcW w:w="3734"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Витрати</w:t>
            </w:r>
          </w:p>
        </w:tc>
      </w:tr>
      <w:tr>
        <w:trPr/>
        <w:tc>
          <w:tcPr>
            <w:tcW w:w="2220"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sz w:val="28"/>
                <w:szCs w:val="28"/>
              </w:rPr>
            </w:pPr>
            <w:r>
              <w:rPr>
                <w:bCs/>
                <w:color w:val="000000"/>
                <w:sz w:val="28"/>
                <w:szCs w:val="28"/>
              </w:rPr>
              <w:t>Альтернатива 1</w:t>
            </w:r>
          </w:p>
        </w:tc>
        <w:tc>
          <w:tcPr>
            <w:tcW w:w="3734"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rPr>
                <w:bCs/>
                <w:color w:val="000000"/>
              </w:rPr>
            </w:pPr>
            <w:r>
              <w:rPr>
                <w:bCs/>
                <w:color w:val="000000"/>
              </w:rPr>
              <w:t>Тариф на перевезення пасажирів на території міста не збільшиться</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rPr>
                <w:bCs/>
                <w:color w:val="000000"/>
              </w:rPr>
            </w:pPr>
            <w:r>
              <w:rPr>
                <w:bCs/>
                <w:color w:val="000000"/>
              </w:rPr>
              <w:t>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trPr>
          <w:trHeight w:val="840" w:hRule="atLeast"/>
        </w:trPr>
        <w:tc>
          <w:tcPr>
            <w:tcW w:w="2220"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sz w:val="28"/>
                <w:szCs w:val="28"/>
              </w:rPr>
            </w:pPr>
            <w:r>
              <w:rPr>
                <w:bCs/>
                <w:color w:val="000000"/>
                <w:sz w:val="28"/>
                <w:szCs w:val="28"/>
              </w:rPr>
              <w:t>Альтернатива 2</w:t>
            </w:r>
          </w:p>
        </w:tc>
        <w:tc>
          <w:tcPr>
            <w:tcW w:w="3734"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rPr>
                <w:bCs/>
                <w:color w:val="000000"/>
              </w:rPr>
            </w:pPr>
            <w:r>
              <w:rPr>
                <w:bCs/>
                <w:color w:val="000000"/>
              </w:rPr>
              <w:t>Забезпечення організації пасажирських перевезень відповідно до потреб мешканців та гостей міста, покращення якості транспортних послуг.</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rPr>
                <w:bCs/>
                <w:color w:val="000000"/>
                <w:lang w:val="en-US"/>
              </w:rPr>
            </w:pPr>
            <w:r>
              <w:rPr>
                <w:bCs/>
                <w:color w:val="000000"/>
              </w:rPr>
              <w:t>Оплата вартості транспортних послуг збільшиться на 2 грн. та становитиме 7 грн.</w:t>
            </w:r>
          </w:p>
        </w:tc>
      </w:tr>
    </w:tbl>
    <w:p>
      <w:pPr>
        <w:pStyle w:val="Normal"/>
        <w:rPr/>
      </w:pPr>
      <w:r>
        <w:rPr/>
      </w:r>
    </w:p>
    <w:p>
      <w:pPr>
        <w:pStyle w:val="Normal"/>
        <w:rPr>
          <w:b/>
          <w:b/>
          <w:bCs/>
          <w:sz w:val="28"/>
          <w:szCs w:val="28"/>
          <w:lang w:eastAsia="uk-UA"/>
        </w:rPr>
      </w:pPr>
      <w:r>
        <w:rPr>
          <w:b/>
          <w:bCs/>
          <w:sz w:val="28"/>
          <w:szCs w:val="28"/>
          <w:lang w:eastAsia="uk-UA"/>
        </w:rPr>
      </w:r>
    </w:p>
    <w:p>
      <w:pPr>
        <w:pStyle w:val="Normal"/>
        <w:rPr>
          <w:b/>
          <w:b/>
          <w:bCs/>
          <w:sz w:val="28"/>
          <w:szCs w:val="28"/>
          <w:lang w:eastAsia="uk-UA"/>
        </w:rPr>
      </w:pPr>
      <w:r>
        <w:rPr>
          <w:b/>
          <w:bCs/>
          <w:sz w:val="28"/>
          <w:szCs w:val="28"/>
          <w:lang w:eastAsia="uk-UA"/>
        </w:rPr>
        <w:t>Оцінка впливу на інтереси суб'єктів господарювання</w:t>
      </w:r>
    </w:p>
    <w:tbl>
      <w:tblPr>
        <w:tblW w:w="978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3070"/>
        <w:gridCol w:w="1608"/>
        <w:gridCol w:w="1701"/>
        <w:gridCol w:w="1701"/>
        <w:gridCol w:w="1701"/>
      </w:tblGrid>
      <w:tr>
        <w:trPr>
          <w:trHeight w:val="109"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t>Показник</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t>Малі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t>Разом</w:t>
            </w:r>
          </w:p>
        </w:tc>
      </w:tr>
      <w:tr>
        <w:trPr>
          <w:trHeight w:val="666"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11</w:t>
            </w:r>
          </w:p>
        </w:tc>
      </w:tr>
      <w:tr>
        <w:trPr>
          <w:trHeight w:val="39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r>
    </w:tbl>
    <w:p>
      <w:pPr>
        <w:pStyle w:val="Normal"/>
        <w:rPr/>
      </w:pPr>
      <w:r>
        <w:rPr/>
      </w:r>
    </w:p>
    <w:p>
      <w:pPr>
        <w:pStyle w:val="Normal"/>
        <w:rPr/>
      </w:pPr>
      <w:r>
        <w:rPr/>
      </w:r>
    </w:p>
    <w:tbl>
      <w:tblPr>
        <w:tblW w:w="9740" w:type="dxa"/>
        <w:jc w:val="left"/>
        <w:tblInd w:w="-10" w:type="dxa"/>
        <w:tblBorders>
          <w:top w:val="single" w:sz="4" w:space="0" w:color="000001"/>
          <w:left w:val="single" w:sz="4" w:space="0" w:color="000001"/>
          <w:bottom w:val="single" w:sz="4" w:space="0" w:color="000001"/>
          <w:insideH w:val="single" w:sz="4" w:space="0" w:color="000001"/>
        </w:tblBorders>
        <w:tblCellMar>
          <w:top w:w="0" w:type="dxa"/>
          <w:left w:w="83" w:type="dxa"/>
          <w:bottom w:w="0" w:type="dxa"/>
          <w:right w:w="108" w:type="dxa"/>
        </w:tblCellMar>
        <w:tblLook w:firstRow="0" w:noVBand="0" w:lastRow="0" w:firstColumn="0" w:lastColumn="0" w:noHBand="0" w:val="0000"/>
      </w:tblPr>
      <w:tblGrid>
        <w:gridCol w:w="2220"/>
        <w:gridCol w:w="3734"/>
        <w:gridCol w:w="3786"/>
      </w:tblGrid>
      <w:tr>
        <w:trPr/>
        <w:tc>
          <w:tcPr>
            <w:tcW w:w="2220"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Вид альтернативи</w:t>
            </w:r>
          </w:p>
        </w:tc>
        <w:tc>
          <w:tcPr>
            <w:tcW w:w="3734"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jc w:val="both"/>
              <w:rPr>
                <w:color w:val="000000"/>
                <w:sz w:val="28"/>
                <w:szCs w:val="28"/>
              </w:rPr>
            </w:pPr>
            <w:r>
              <w:rPr>
                <w:b/>
                <w:color w:val="000000"/>
                <w:sz w:val="28"/>
                <w:szCs w:val="28"/>
              </w:rPr>
              <w:t>Витрати</w:t>
            </w:r>
          </w:p>
        </w:tc>
      </w:tr>
      <w:tr>
        <w:trPr/>
        <w:tc>
          <w:tcPr>
            <w:tcW w:w="2220"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sz w:val="28"/>
                <w:szCs w:val="28"/>
              </w:rPr>
            </w:pPr>
            <w:r>
              <w:rPr>
                <w:bCs/>
                <w:color w:val="000000"/>
                <w:sz w:val="28"/>
                <w:szCs w:val="28"/>
              </w:rPr>
              <w:t>Альтернатива 1</w:t>
            </w:r>
          </w:p>
        </w:tc>
        <w:tc>
          <w:tcPr>
            <w:tcW w:w="3734"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rPr>
            </w:pPr>
            <w:r>
              <w:rPr>
                <w:bCs/>
                <w:color w:val="000000"/>
              </w:rPr>
              <w:t>Вигоди відсутні</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rPr>
                <w:bCs/>
                <w:color w:val="000000"/>
              </w:rPr>
            </w:pPr>
            <w:r>
              <w:rPr>
                <w:bCs/>
                <w:color w:val="000000"/>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trPr/>
        <w:tc>
          <w:tcPr>
            <w:tcW w:w="2220"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sz w:val="28"/>
                <w:szCs w:val="28"/>
              </w:rPr>
            </w:pPr>
            <w:r>
              <w:rPr>
                <w:bCs/>
                <w:color w:val="000000"/>
                <w:sz w:val="28"/>
                <w:szCs w:val="28"/>
              </w:rPr>
              <w:t>Альтернатива 2</w:t>
            </w:r>
          </w:p>
        </w:tc>
        <w:tc>
          <w:tcPr>
            <w:tcW w:w="3734" w:type="dxa"/>
            <w:tcBorders>
              <w:top w:val="single" w:sz="4" w:space="0" w:color="000001"/>
              <w:left w:val="single" w:sz="4" w:space="0" w:color="000001"/>
              <w:bottom w:val="single" w:sz="4" w:space="0" w:color="000001"/>
              <w:insideH w:val="single" w:sz="4" w:space="0" w:color="000001"/>
            </w:tcBorders>
            <w:shd w:color="auto" w:fill="auto" w:val="clear"/>
            <w:tcMar>
              <w:left w:w="83" w:type="dxa"/>
            </w:tcMar>
          </w:tcPr>
          <w:p>
            <w:pPr>
              <w:pStyle w:val="Normal"/>
              <w:jc w:val="both"/>
              <w:rPr>
                <w:bCs/>
                <w:color w:val="000000"/>
              </w:rPr>
            </w:pPr>
            <w:r>
              <w:rPr>
                <w:bCs/>
                <w:color w:val="000000"/>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 підвищення рентабельності підприємства до 10%</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83" w:type="dxa"/>
            </w:tcMar>
          </w:tcPr>
          <w:p>
            <w:pPr>
              <w:pStyle w:val="Normal"/>
              <w:rPr>
                <w:bCs/>
                <w:color w:val="000000"/>
              </w:rPr>
            </w:pPr>
            <w:r>
              <w:rPr>
                <w:bCs/>
                <w:color w:val="000000"/>
              </w:rPr>
              <w:t>Витрати на забезпечення пасажирських перевезень на маршрутах загального користування у м. Мукачево</w:t>
            </w:r>
            <w:r>
              <w:rPr>
                <w:bCs/>
                <w:color w:val="000000"/>
                <w:lang w:val="ru-RU"/>
              </w:rPr>
              <w:t xml:space="preserve"> (1178 </w:t>
            </w:r>
            <w:r>
              <w:rPr>
                <w:bCs/>
                <w:color w:val="000000"/>
              </w:rPr>
              <w:t>тис. грн. / рік / автобус)</w:t>
            </w:r>
          </w:p>
        </w:tc>
      </w:tr>
    </w:tbl>
    <w:p>
      <w:pPr>
        <w:pStyle w:val="Normal"/>
        <w:spacing w:lineRule="exact" w:line="335"/>
        <w:jc w:val="both"/>
        <w:rPr/>
      </w:pPr>
      <w:r>
        <w:rPr/>
        <w:t>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акта. Так було з’ясовано, що суб’єкти господарювання в середньому нестимуть певні витрати, пов’язані з дією даного регуляторного акта.</w:t>
      </w:r>
    </w:p>
    <w:p>
      <w:pPr>
        <w:pStyle w:val="Normal"/>
        <w:spacing w:lineRule="exact" w:line="335"/>
        <w:rPr/>
      </w:pPr>
      <w:r>
        <w:rPr/>
        <w:t xml:space="preserve"> </w:t>
      </w:r>
    </w:p>
    <w:p>
      <w:pPr>
        <w:pStyle w:val="Normal"/>
        <w:spacing w:lineRule="exact" w:line="335"/>
        <w:jc w:val="center"/>
        <w:rPr>
          <w:b/>
          <w:b/>
          <w:bCs/>
          <w:sz w:val="28"/>
          <w:szCs w:val="28"/>
        </w:rPr>
      </w:pPr>
      <w:r>
        <w:rPr>
          <w:b/>
          <w:bCs/>
          <w:sz w:val="28"/>
          <w:szCs w:val="28"/>
        </w:rPr>
        <w:t xml:space="preserve">IV. Вибір найбільш оптимального альтернативного способу </w:t>
      </w:r>
    </w:p>
    <w:p>
      <w:pPr>
        <w:pStyle w:val="Normal"/>
        <w:spacing w:lineRule="exact" w:line="335"/>
        <w:jc w:val="center"/>
        <w:rPr>
          <w:b/>
          <w:b/>
          <w:bCs/>
          <w:sz w:val="28"/>
          <w:szCs w:val="28"/>
        </w:rPr>
      </w:pPr>
      <w:r>
        <w:rPr>
          <w:b/>
          <w:bCs/>
          <w:sz w:val="28"/>
          <w:szCs w:val="28"/>
        </w:rPr>
        <w:t>досягнення цілей</w:t>
      </w:r>
    </w:p>
    <w:p>
      <w:pPr>
        <w:pStyle w:val="Normal"/>
        <w:spacing w:lineRule="exact" w:line="335"/>
        <w:ind w:firstLine="708"/>
        <w:jc w:val="both"/>
        <w:rPr>
          <w:sz w:val="28"/>
          <w:szCs w:val="28"/>
        </w:rPr>
      </w:pPr>
      <w:r>
        <w:rPr>
          <w:sz w:val="28"/>
          <w:szCs w:val="28"/>
        </w:rPr>
        <w:t>Оцінка ступеня досягнення визначених цілей визначається за чотирибальною системою, де:</w:t>
      </w:r>
    </w:p>
    <w:p>
      <w:pPr>
        <w:pStyle w:val="Normal"/>
        <w:spacing w:lineRule="exact" w:line="335"/>
        <w:ind w:firstLine="708"/>
        <w:jc w:val="both"/>
        <w:rPr>
          <w:sz w:val="28"/>
          <w:szCs w:val="28"/>
        </w:rPr>
      </w:pPr>
      <w:r>
        <w:rPr>
          <w:sz w:val="28"/>
          <w:szCs w:val="28"/>
        </w:rPr>
        <w:t>4 – цілі ухвалення регуляторного акта можуть бути досягнуті повною мірою (проблеми більше не буде);</w:t>
      </w:r>
    </w:p>
    <w:p>
      <w:pPr>
        <w:pStyle w:val="Normal"/>
        <w:spacing w:lineRule="exact" w:line="335"/>
        <w:ind w:firstLine="708"/>
        <w:jc w:val="both"/>
        <w:rPr>
          <w:sz w:val="28"/>
          <w:szCs w:val="28"/>
        </w:rPr>
      </w:pPr>
      <w:r>
        <w:rPr>
          <w:sz w:val="28"/>
          <w:szCs w:val="28"/>
        </w:rPr>
        <w:t>3 – цілі ухвалення регуляторного акта можуть бути досягнуті майже повною мірою (усі важливі аспекти проблеми будуть усунуті);</w:t>
      </w:r>
    </w:p>
    <w:p>
      <w:pPr>
        <w:pStyle w:val="Normal"/>
        <w:spacing w:lineRule="exact" w:line="335"/>
        <w:ind w:firstLine="708"/>
        <w:jc w:val="both"/>
        <w:rPr>
          <w:sz w:val="28"/>
          <w:szCs w:val="28"/>
        </w:rPr>
      </w:pPr>
      <w:r>
        <w:rPr>
          <w:sz w:val="28"/>
          <w:szCs w:val="28"/>
        </w:rPr>
        <w:t>2 – цілі ухвалення регуляторного акта можуть бути досягнуті частково (проблема значно зменшиться, деякі важливі чи критичні її аспекти залишаться невирішеними);</w:t>
      </w:r>
    </w:p>
    <w:p>
      <w:pPr>
        <w:pStyle w:val="Normal"/>
        <w:spacing w:lineRule="exact" w:line="335"/>
        <w:ind w:firstLine="708"/>
        <w:jc w:val="both"/>
        <w:rPr>
          <w:sz w:val="28"/>
          <w:szCs w:val="28"/>
        </w:rPr>
      </w:pPr>
      <w:r>
        <w:rPr>
          <w:sz w:val="28"/>
          <w:szCs w:val="28"/>
        </w:rPr>
        <w:t>1  –  цілі  ухвалення  регуляторного  акта  не можуть</w:t>
        <w:tab/>
        <w:t>бути досягнуті</w:t>
      </w:r>
    </w:p>
    <w:p>
      <w:pPr>
        <w:pStyle w:val="Normal"/>
        <w:spacing w:lineRule="exact" w:line="335"/>
        <w:jc w:val="both"/>
        <w:rPr>
          <w:sz w:val="28"/>
          <w:szCs w:val="28"/>
        </w:rPr>
      </w:pPr>
      <w:r>
        <w:rPr>
          <w:sz w:val="28"/>
          <w:szCs w:val="28"/>
        </w:rPr>
        <w:t>(проблема залишається)</w:t>
      </w:r>
    </w:p>
    <w:p>
      <w:pPr>
        <w:pStyle w:val="Normal"/>
        <w:spacing w:lineRule="exact" w:line="335"/>
        <w:jc w:val="both"/>
        <w:rPr>
          <w:sz w:val="28"/>
          <w:szCs w:val="28"/>
        </w:rPr>
      </w:pPr>
      <w:r>
        <w:rPr>
          <w:sz w:val="28"/>
          <w:szCs w:val="28"/>
        </w:rPr>
      </w:r>
    </w:p>
    <w:tbl>
      <w:tblPr>
        <w:tblW w:w="9796" w:type="dxa"/>
        <w:jc w:val="left"/>
        <w:tblInd w:w="0"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0" w:type="dxa"/>
          <w:bottom w:w="0" w:type="dxa"/>
          <w:right w:w="0" w:type="dxa"/>
        </w:tblCellMar>
        <w:tblLook w:firstRow="1" w:noVBand="1" w:lastRow="0" w:firstColumn="1" w:lastColumn="0" w:noHBand="0" w:val="04a0"/>
      </w:tblPr>
      <w:tblGrid>
        <w:gridCol w:w="2259"/>
        <w:gridCol w:w="1923"/>
        <w:gridCol w:w="5614"/>
      </w:tblGrid>
      <w:tr>
        <w:trPr/>
        <w:tc>
          <w:tcPr>
            <w:tcW w:w="22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jc w:val="center"/>
              <w:rPr>
                <w:b/>
                <w:b/>
                <w:bCs/>
                <w:lang w:eastAsia="uk-UA"/>
              </w:rPr>
            </w:pPr>
            <w:r>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jc w:val="center"/>
              <w:rPr>
                <w:b/>
                <w:b/>
                <w:bCs/>
                <w:lang w:eastAsia="uk-UA"/>
              </w:rPr>
            </w:pPr>
            <w:r>
              <w:rPr>
                <w:b/>
                <w:bCs/>
                <w:lang w:eastAsia="uk-UA"/>
              </w:rPr>
              <w:t xml:space="preserve">Бал результативності </w:t>
            </w:r>
          </w:p>
        </w:tc>
        <w:tc>
          <w:tcPr>
            <w:tcW w:w="561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jc w:val="center"/>
              <w:rPr>
                <w:b/>
                <w:b/>
                <w:bCs/>
                <w:lang w:eastAsia="uk-UA"/>
              </w:rPr>
            </w:pPr>
            <w:r>
              <w:rPr>
                <w:b/>
                <w:bCs/>
                <w:lang w:eastAsia="uk-UA"/>
              </w:rPr>
              <w:t xml:space="preserve">Коментарі щодо присвоєння </w:t>
            </w:r>
          </w:p>
          <w:p>
            <w:pPr>
              <w:pStyle w:val="Normal"/>
              <w:jc w:val="center"/>
              <w:rPr>
                <w:b/>
                <w:b/>
                <w:bCs/>
                <w:lang w:eastAsia="uk-UA"/>
              </w:rPr>
            </w:pPr>
            <w:r>
              <w:rPr>
                <w:b/>
                <w:bCs/>
                <w:lang w:eastAsia="uk-UA"/>
              </w:rPr>
              <w:t>відповідного бала</w:t>
            </w:r>
          </w:p>
        </w:tc>
      </w:tr>
      <w:tr>
        <w:trPr/>
        <w:tc>
          <w:tcPr>
            <w:tcW w:w="22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jc w:val="center"/>
              <w:rPr>
                <w:sz w:val="28"/>
                <w:szCs w:val="28"/>
                <w:lang w:eastAsia="uk-UA"/>
              </w:rPr>
            </w:pPr>
            <w:r>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jc w:val="center"/>
              <w:rPr>
                <w:sz w:val="28"/>
                <w:szCs w:val="28"/>
                <w:lang w:eastAsia="uk-UA"/>
              </w:rPr>
            </w:pPr>
            <w:r>
              <w:rPr>
                <w:sz w:val="28"/>
                <w:szCs w:val="28"/>
                <w:lang w:eastAsia="uk-UA"/>
              </w:rPr>
              <w:t>1</w:t>
            </w:r>
          </w:p>
        </w:tc>
        <w:tc>
          <w:tcPr>
            <w:tcW w:w="561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jc w:val="both"/>
              <w:rPr>
                <w:sz w:val="28"/>
                <w:szCs w:val="28"/>
                <w:lang w:eastAsia="uk-UA"/>
              </w:rPr>
            </w:pPr>
            <w:r>
              <w:rPr>
                <w:bCs/>
                <w:color w:val="000000"/>
              </w:rPr>
              <w:t>Цілі регуляторного акта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trPr/>
        <w:tc>
          <w:tcPr>
            <w:tcW w:w="2259"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jc w:val="center"/>
              <w:rPr>
                <w:sz w:val="28"/>
                <w:szCs w:val="28"/>
                <w:lang w:eastAsia="uk-UA"/>
              </w:rPr>
            </w:pPr>
            <w:r>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vAlign w:val="center"/>
          </w:tcPr>
          <w:p>
            <w:pPr>
              <w:pStyle w:val="Normal"/>
              <w:jc w:val="center"/>
              <w:rPr>
                <w:sz w:val="28"/>
                <w:szCs w:val="28"/>
                <w:lang w:eastAsia="uk-UA"/>
              </w:rPr>
            </w:pPr>
            <w:r>
              <w:rPr>
                <w:sz w:val="28"/>
                <w:szCs w:val="28"/>
                <w:lang w:eastAsia="uk-UA"/>
              </w:rPr>
              <w:t>4</w:t>
            </w:r>
          </w:p>
        </w:tc>
        <w:tc>
          <w:tcPr>
            <w:tcW w:w="5614"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fill="auto" w:val="clear"/>
            <w:tcMar>
              <w:left w:w="0" w:type="dxa"/>
            </w:tcMar>
          </w:tcPr>
          <w:p>
            <w:pPr>
              <w:pStyle w:val="Normal"/>
              <w:jc w:val="both"/>
              <w:rPr>
                <w:lang w:eastAsia="uk-UA"/>
              </w:rPr>
            </w:pPr>
            <w:r>
              <w:rPr>
                <w:lang w:eastAsia="uk-UA"/>
              </w:rPr>
              <w:t>Цілі ухвалення регуляторного акта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pPr>
        <w:pStyle w:val="Normal"/>
        <w:spacing w:lineRule="auto" w:line="232"/>
        <w:ind w:right="180" w:hanging="0"/>
        <w:rPr>
          <w:b/>
          <w:b/>
          <w:i/>
          <w:i/>
          <w:sz w:val="28"/>
        </w:rPr>
      </w:pPr>
      <w:r>
        <w:rPr>
          <w:b/>
          <w:i/>
          <w:sz w:val="28"/>
        </w:rPr>
      </w:r>
    </w:p>
    <w:p>
      <w:pPr>
        <w:pStyle w:val="Normal"/>
        <w:spacing w:lineRule="auto" w:line="232"/>
        <w:ind w:right="180" w:hanging="0"/>
        <w:jc w:val="center"/>
        <w:rPr>
          <w:b/>
          <w:b/>
          <w:i/>
          <w:i/>
          <w:sz w:val="28"/>
        </w:rPr>
      </w:pPr>
      <w:r>
        <w:rPr>
          <w:b/>
          <w:i/>
          <w:sz w:val="28"/>
        </w:rPr>
        <w:t>Оцінка впливу регуляторного акта на конкуренцію в рамках проведення аналізу регуляторного впливу</w:t>
      </w:r>
    </w:p>
    <w:p>
      <w:pPr>
        <w:pStyle w:val="Normal"/>
        <w:spacing w:lineRule="auto" w:line="232"/>
        <w:ind w:right="180" w:hanging="0"/>
        <w:rPr>
          <w:b/>
          <w:b/>
          <w:i/>
          <w:i/>
          <w:sz w:val="28"/>
        </w:rPr>
      </w:pPr>
      <w:r>
        <w:rPr>
          <w:b/>
          <w:i/>
          <w:sz w:val="28"/>
        </w:rPr>
      </w:r>
    </w:p>
    <w:tbl>
      <w:tblPr>
        <w:tblStyle w:val="afb"/>
        <w:tblW w:w="9606" w:type="dxa"/>
        <w:jc w:val="left"/>
        <w:tblInd w:w="0" w:type="dxa"/>
        <w:tblCellMar>
          <w:top w:w="0" w:type="dxa"/>
          <w:left w:w="108" w:type="dxa"/>
          <w:bottom w:w="0" w:type="dxa"/>
          <w:right w:w="108" w:type="dxa"/>
        </w:tblCellMar>
        <w:tblLook w:firstRow="1" w:noVBand="1" w:lastRow="0" w:firstColumn="1" w:lastColumn="0" w:noHBand="0" w:val="04a0"/>
      </w:tblPr>
      <w:tblGrid>
        <w:gridCol w:w="7365"/>
        <w:gridCol w:w="2240"/>
      </w:tblGrid>
      <w:tr>
        <w:trPr/>
        <w:tc>
          <w:tcPr>
            <w:tcW w:w="7365" w:type="dxa"/>
            <w:tcBorders/>
            <w:shd w:fill="auto" w:val="clear"/>
            <w:tcMar>
              <w:left w:w="108" w:type="dxa"/>
            </w:tcMar>
          </w:tcPr>
          <w:p>
            <w:pPr>
              <w:pStyle w:val="Normal"/>
              <w:spacing w:lineRule="auto" w:line="232"/>
              <w:ind w:right="180" w:hanging="0"/>
              <w:rPr>
                <w:b/>
                <w:b/>
                <w:iCs/>
                <w:sz w:val="28"/>
              </w:rPr>
            </w:pPr>
            <w:r>
              <w:rPr>
                <w:b/>
                <w:iCs/>
                <w:sz w:val="28"/>
              </w:rPr>
              <w:t>Категорія впливу</w:t>
            </w:r>
          </w:p>
        </w:tc>
        <w:tc>
          <w:tcPr>
            <w:tcW w:w="2240" w:type="dxa"/>
            <w:tcBorders/>
            <w:shd w:fill="auto" w:val="clear"/>
            <w:tcMar>
              <w:left w:w="108" w:type="dxa"/>
            </w:tcMar>
          </w:tcPr>
          <w:p>
            <w:pPr>
              <w:pStyle w:val="Normal"/>
              <w:spacing w:lineRule="auto" w:line="232"/>
              <w:ind w:right="180" w:hanging="0"/>
              <w:rPr>
                <w:b/>
                <w:b/>
                <w:iCs/>
                <w:sz w:val="28"/>
              </w:rPr>
            </w:pPr>
            <w:r>
              <w:rPr>
                <w:b/>
                <w:iCs/>
                <w:sz w:val="28"/>
              </w:rPr>
              <w:t>Відповідь</w:t>
            </w:r>
          </w:p>
        </w:tc>
      </w:tr>
      <w:tr>
        <w:trPr/>
        <w:tc>
          <w:tcPr>
            <w:tcW w:w="7365" w:type="dxa"/>
            <w:tcBorders/>
            <w:shd w:fill="auto" w:val="clear"/>
            <w:tcMar>
              <w:left w:w="108" w:type="dxa"/>
            </w:tcMar>
          </w:tcPr>
          <w:p>
            <w:pPr>
              <w:pStyle w:val="Normal"/>
              <w:spacing w:lineRule="auto" w:line="232"/>
              <w:ind w:right="180" w:hanging="0"/>
              <w:rPr>
                <w:bCs/>
                <w:iCs/>
              </w:rPr>
            </w:pPr>
            <w:r>
              <w:rPr>
                <w:bCs/>
                <w:iCs/>
              </w:rPr>
              <w:t>А. Обмежує кількість або звужує коло постачальників.</w:t>
            </w:r>
          </w:p>
          <w:p>
            <w:pPr>
              <w:pStyle w:val="Normal"/>
              <w:spacing w:lineRule="auto" w:line="232"/>
              <w:ind w:right="180" w:hanging="0"/>
              <w:rPr>
                <w:bCs/>
                <w:iCs/>
              </w:rPr>
            </w:pPr>
            <w:r>
              <w:rPr>
                <w:bCs/>
                <w:iCs/>
              </w:rPr>
              <w:t>Такий  наслідок  може  настати,  якщо  регуляторна</w:t>
            </w:r>
          </w:p>
          <w:p>
            <w:pPr>
              <w:pStyle w:val="Normal"/>
              <w:spacing w:lineRule="auto" w:line="232"/>
              <w:ind w:right="180" w:hanging="0"/>
              <w:rPr>
                <w:bCs/>
                <w:iCs/>
              </w:rPr>
            </w:pPr>
            <w:r>
              <w:rPr>
                <w:bCs/>
                <w:iCs/>
              </w:rPr>
              <w:t>пропозиція:</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1. Надає  суб'єкту  господарювання  виключні  права  на</w:t>
            </w:r>
          </w:p>
          <w:p>
            <w:pPr>
              <w:pStyle w:val="Normal"/>
              <w:spacing w:lineRule="auto" w:line="232"/>
              <w:ind w:right="180" w:hanging="0"/>
              <w:rPr>
                <w:bCs/>
                <w:iCs/>
              </w:rPr>
            </w:pPr>
            <w:r>
              <w:rPr>
                <w:bCs/>
                <w:iCs/>
              </w:rPr>
              <w:t>Послуги з перевезення пасажирів автобусними</w:t>
            </w:r>
          </w:p>
          <w:p>
            <w:pPr>
              <w:pStyle w:val="Normal"/>
              <w:spacing w:lineRule="auto" w:line="232"/>
              <w:ind w:right="180" w:hanging="0"/>
              <w:rPr>
                <w:bCs/>
                <w:iCs/>
              </w:rPr>
            </w:pPr>
            <w:r>
              <w:rPr>
                <w:bCs/>
                <w:iCs/>
              </w:rPr>
              <w:t>маршрутами загального користування</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2. Запроваджує режим ліцензування, надання дозволу або</w:t>
            </w:r>
          </w:p>
          <w:p>
            <w:pPr>
              <w:pStyle w:val="Normal"/>
              <w:spacing w:lineRule="auto" w:line="232"/>
              <w:ind w:right="180" w:hanging="0"/>
              <w:rPr>
                <w:bCs/>
                <w:iCs/>
              </w:rPr>
            </w:pPr>
            <w:r>
              <w:rPr>
                <w:bCs/>
                <w:iCs/>
              </w:rPr>
              <w:t>вимогу   погодження   підприємницької   діяльності   з</w:t>
            </w:r>
          </w:p>
          <w:p>
            <w:pPr>
              <w:pStyle w:val="Normal"/>
              <w:spacing w:lineRule="auto" w:line="232"/>
              <w:ind w:right="180" w:hanging="0"/>
              <w:rPr>
                <w:bCs/>
                <w:iCs/>
              </w:rPr>
            </w:pPr>
            <w:r>
              <w:rPr>
                <w:bCs/>
                <w:iCs/>
              </w:rPr>
              <w:t>органами влади</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3. Обмежує  здатність  окремих  категорій  підприємців</w:t>
            </w:r>
          </w:p>
          <w:p>
            <w:pPr>
              <w:pStyle w:val="Normal"/>
              <w:spacing w:lineRule="auto" w:line="232"/>
              <w:ind w:right="180" w:hanging="0"/>
              <w:rPr>
                <w:bCs/>
                <w:iCs/>
              </w:rPr>
            </w:pPr>
            <w:r>
              <w:rPr>
                <w:bCs/>
                <w:iCs/>
              </w:rPr>
              <w:t>постачати  товари  чи  надавати  послуги  (звужує  коло</w:t>
            </w:r>
          </w:p>
          <w:p>
            <w:pPr>
              <w:pStyle w:val="Normal"/>
              <w:spacing w:lineRule="auto" w:line="232"/>
              <w:ind w:right="180" w:hanging="0"/>
              <w:rPr>
                <w:bCs/>
                <w:iCs/>
              </w:rPr>
            </w:pPr>
            <w:r>
              <w:rPr>
                <w:bCs/>
                <w:iCs/>
              </w:rPr>
              <w:t>учасників ринку)</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4. Значно  підвищує  вартість  входження  в  ринок  або</w:t>
            </w:r>
          </w:p>
          <w:p>
            <w:pPr>
              <w:pStyle w:val="Normal"/>
              <w:spacing w:lineRule="auto" w:line="232"/>
              <w:ind w:right="180" w:hanging="0"/>
              <w:rPr>
                <w:bCs/>
                <w:iCs/>
              </w:rPr>
            </w:pPr>
            <w:r>
              <w:rPr>
                <w:bCs/>
                <w:iCs/>
              </w:rPr>
              <w:t>виходу з нього</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rHeight w:val="738" w:hRule="atLeast"/>
        </w:trPr>
        <w:tc>
          <w:tcPr>
            <w:tcW w:w="7365" w:type="dxa"/>
            <w:tcBorders/>
            <w:shd w:fill="auto" w:val="clear"/>
            <w:tcMar>
              <w:left w:w="108" w:type="dxa"/>
            </w:tcMar>
          </w:tcPr>
          <w:p>
            <w:pPr>
              <w:pStyle w:val="Normal"/>
              <w:spacing w:lineRule="auto" w:line="232"/>
              <w:ind w:right="180" w:hanging="0"/>
              <w:rPr>
                <w:bCs/>
                <w:iCs/>
              </w:rPr>
            </w:pPr>
            <w:r>
              <w:rPr>
                <w:bCs/>
                <w:iCs/>
              </w:rPr>
              <w:t>5. Створює географічний бар'єр для постачання товарів,</w:t>
            </w:r>
          </w:p>
          <w:p>
            <w:pPr>
              <w:pStyle w:val="Normal"/>
              <w:spacing w:lineRule="auto" w:line="232"/>
              <w:ind w:right="180" w:hanging="0"/>
              <w:rPr>
                <w:bCs/>
                <w:iCs/>
              </w:rPr>
            </w:pPr>
            <w:r>
              <w:rPr>
                <w:bCs/>
                <w:iCs/>
              </w:rPr>
              <w:t>виконання робіт, надання послуг або інвестицій</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Б. Обмежує здатність постачальників конкурувати.</w:t>
            </w:r>
          </w:p>
          <w:p>
            <w:pPr>
              <w:pStyle w:val="Normal"/>
              <w:spacing w:lineRule="auto" w:line="232"/>
              <w:ind w:right="180" w:hanging="0"/>
              <w:rPr>
                <w:bCs/>
                <w:iCs/>
              </w:rPr>
            </w:pPr>
            <w:r>
              <w:rPr>
                <w:bCs/>
                <w:iCs/>
              </w:rPr>
              <w:t>Такий  наслідок  може  настати,  якщо  регуляторна</w:t>
            </w:r>
          </w:p>
          <w:p>
            <w:pPr>
              <w:pStyle w:val="Normal"/>
              <w:spacing w:lineRule="auto" w:line="232"/>
              <w:ind w:right="180" w:hanging="0"/>
              <w:rPr>
                <w:bCs/>
                <w:iCs/>
              </w:rPr>
            </w:pPr>
            <w:r>
              <w:rPr>
                <w:bCs/>
                <w:iCs/>
              </w:rPr>
              <w:t>пропозиція:</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1. Обмежує  здатність  підприємців  визначати  ціни  на</w:t>
            </w:r>
          </w:p>
          <w:p>
            <w:pPr>
              <w:pStyle w:val="Normal"/>
              <w:spacing w:lineRule="auto" w:line="232"/>
              <w:ind w:right="180" w:hanging="0"/>
              <w:rPr>
                <w:bCs/>
                <w:iCs/>
              </w:rPr>
            </w:pPr>
            <w:r>
              <w:rPr>
                <w:bCs/>
                <w:iCs/>
              </w:rPr>
              <w:t>товари чи послугу</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2. Обмежує можливість постачальників рекламувати або</w:t>
            </w:r>
          </w:p>
          <w:p>
            <w:pPr>
              <w:pStyle w:val="Normal"/>
              <w:spacing w:lineRule="auto" w:line="232"/>
              <w:ind w:right="180" w:hanging="0"/>
              <w:rPr>
                <w:bCs/>
                <w:iCs/>
              </w:rPr>
            </w:pPr>
            <w:r>
              <w:rPr>
                <w:bCs/>
                <w:iCs/>
              </w:rPr>
              <w:t>здійснювати маркетинг товарів чи послуг</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4. Суттєво збільшує витрати інших суб'єктів підприємництва порівняно з іншими (зокрема внаслідок дискримінаційного   ставлення до  діючих та нових учасників ринку)</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В.  Зменшує  мотивацію  постачальників  до  активної</w:t>
            </w:r>
          </w:p>
          <w:p>
            <w:pPr>
              <w:pStyle w:val="Normal"/>
              <w:spacing w:lineRule="auto" w:line="232"/>
              <w:ind w:right="180" w:hanging="0"/>
              <w:rPr>
                <w:bCs/>
                <w:iCs/>
              </w:rPr>
            </w:pPr>
            <w:r>
              <w:rPr>
                <w:bCs/>
                <w:iCs/>
              </w:rPr>
              <w:t>конкуренції.</w:t>
            </w:r>
          </w:p>
          <w:p>
            <w:pPr>
              <w:pStyle w:val="Normal"/>
              <w:spacing w:lineRule="auto" w:line="232"/>
              <w:ind w:right="180" w:hanging="0"/>
              <w:rPr>
                <w:bCs/>
                <w:iCs/>
              </w:rPr>
            </w:pPr>
            <w:r>
              <w:rPr>
                <w:bCs/>
                <w:iCs/>
              </w:rPr>
              <w:t>Такий  наслідок  може  настати,  якщо  регуляторна пропозиція:</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1. Запроваджує  режим  саморегулювання  або  спільного регулювання</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2. Вимагає  або  заохочує  публікувати  інформацію  про обсяги  виробництва  чи  реалізацію,  ціни  та  витрати підприємств</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Г.  Обмежує вибір  та  доступ споживачів до необхідної</w:t>
            </w:r>
          </w:p>
          <w:p>
            <w:pPr>
              <w:pStyle w:val="Normal"/>
              <w:spacing w:lineRule="auto" w:line="232"/>
              <w:ind w:right="180" w:hanging="0"/>
              <w:rPr>
                <w:bCs/>
                <w:iCs/>
              </w:rPr>
            </w:pPr>
            <w:r>
              <w:rPr>
                <w:bCs/>
                <w:iCs/>
              </w:rPr>
              <w:t>інформації</w:t>
            </w:r>
          </w:p>
          <w:p>
            <w:pPr>
              <w:pStyle w:val="Normal"/>
              <w:spacing w:lineRule="auto" w:line="232"/>
              <w:ind w:right="180" w:hanging="0"/>
              <w:rPr>
                <w:bCs/>
                <w:iCs/>
              </w:rPr>
            </w:pPr>
            <w:r>
              <w:rPr>
                <w:bCs/>
                <w:iCs/>
              </w:rPr>
              <w:t>Такий  наслідок  може  настати,  якщо  регуляторна пропозиція:</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1. Обмежує  здатність  споживачів  вирішувати  в  кого</w:t>
            </w:r>
          </w:p>
          <w:p>
            <w:pPr>
              <w:pStyle w:val="Normal"/>
              <w:spacing w:lineRule="auto" w:line="232"/>
              <w:ind w:right="180" w:hanging="0"/>
              <w:rPr>
                <w:bCs/>
                <w:iCs/>
              </w:rPr>
            </w:pPr>
            <w:r>
              <w:rPr>
                <w:bCs/>
                <w:iCs/>
              </w:rPr>
              <w:t>купувати товар</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2. Знижує мобільність споживачів унаслідок підвищення</w:t>
            </w:r>
          </w:p>
          <w:p>
            <w:pPr>
              <w:pStyle w:val="Normal"/>
              <w:spacing w:lineRule="auto" w:line="232"/>
              <w:ind w:right="180" w:hanging="0"/>
              <w:rPr>
                <w:bCs/>
                <w:iCs/>
              </w:rPr>
            </w:pPr>
            <w:r>
              <w:rPr>
                <w:bCs/>
                <w:iCs/>
              </w:rPr>
              <w:t>прямих або непрямих витрат на заміну постачальника</w:t>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r>
        <w:trPr/>
        <w:tc>
          <w:tcPr>
            <w:tcW w:w="7365" w:type="dxa"/>
            <w:tcBorders/>
            <w:shd w:fill="auto" w:val="clear"/>
            <w:tcMar>
              <w:left w:w="108" w:type="dxa"/>
            </w:tcMar>
          </w:tcPr>
          <w:p>
            <w:pPr>
              <w:pStyle w:val="Normal"/>
              <w:spacing w:lineRule="auto" w:line="232"/>
              <w:ind w:right="180" w:hanging="0"/>
              <w:rPr>
                <w:bCs/>
                <w:iCs/>
              </w:rPr>
            </w:pPr>
            <w:r>
              <w:rPr>
                <w:bCs/>
                <w:iCs/>
              </w:rPr>
              <w:t>3.  Суттєво  обмежує  чи  змінює  інформацію,  необхідну</w:t>
            </w:r>
          </w:p>
          <w:p>
            <w:pPr>
              <w:pStyle w:val="Normal"/>
              <w:spacing w:lineRule="auto" w:line="232"/>
              <w:ind w:right="180" w:hanging="0"/>
              <w:rPr>
                <w:bCs/>
                <w:iCs/>
              </w:rPr>
            </w:pPr>
            <w:r>
              <w:rPr>
                <w:bCs/>
                <w:iCs/>
              </w:rPr>
              <w:t>для  ухвалення  раціонального рішення  щодо придбання</w:t>
            </w:r>
          </w:p>
          <w:p>
            <w:pPr>
              <w:pStyle w:val="Normal"/>
              <w:spacing w:lineRule="auto" w:line="232"/>
              <w:ind w:right="180" w:hanging="0"/>
              <w:rPr>
                <w:bCs/>
                <w:iCs/>
              </w:rPr>
            </w:pPr>
            <w:r>
              <w:rPr>
                <w:bCs/>
                <w:iCs/>
              </w:rPr>
              <w:t>чи продажу товару</w:t>
              <w:tab/>
            </w:r>
          </w:p>
        </w:tc>
        <w:tc>
          <w:tcPr>
            <w:tcW w:w="2240" w:type="dxa"/>
            <w:tcBorders/>
            <w:shd w:fill="auto" w:val="clear"/>
            <w:tcMar>
              <w:left w:w="108" w:type="dxa"/>
            </w:tcMar>
          </w:tcPr>
          <w:p>
            <w:pPr>
              <w:pStyle w:val="Normal"/>
              <w:spacing w:lineRule="auto" w:line="232"/>
              <w:ind w:right="180" w:hanging="0"/>
              <w:jc w:val="center"/>
              <w:rPr>
                <w:bCs/>
                <w:iCs/>
              </w:rPr>
            </w:pPr>
            <w:r>
              <w:rPr>
                <w:bCs/>
                <w:iCs/>
              </w:rPr>
              <w:t>НІ</w:t>
            </w:r>
          </w:p>
        </w:tc>
      </w:tr>
    </w:tbl>
    <w:p>
      <w:pPr>
        <w:pStyle w:val="Normal"/>
        <w:rPr/>
      </w:pPr>
      <w:r>
        <w:rPr/>
      </w:r>
    </w:p>
    <w:p>
      <w:pPr>
        <w:pStyle w:val="Normal"/>
        <w:rPr/>
      </w:pPr>
      <w:r>
        <w:rPr/>
      </w:r>
    </w:p>
    <w:tbl>
      <w:tblPr>
        <w:tblStyle w:val="afb"/>
        <w:tblW w:w="9610" w:type="dxa"/>
        <w:jc w:val="left"/>
        <w:tblInd w:w="0" w:type="dxa"/>
        <w:tblCellMar>
          <w:top w:w="0" w:type="dxa"/>
          <w:left w:w="108" w:type="dxa"/>
          <w:bottom w:w="0" w:type="dxa"/>
          <w:right w:w="108" w:type="dxa"/>
        </w:tblCellMar>
        <w:tblLook w:firstRow="1" w:noVBand="1" w:lastRow="0" w:firstColumn="1" w:lastColumn="0" w:noHBand="0" w:val="04a0"/>
      </w:tblPr>
      <w:tblGrid>
        <w:gridCol w:w="1980"/>
        <w:gridCol w:w="2498"/>
        <w:gridCol w:w="2746"/>
        <w:gridCol w:w="2385"/>
      </w:tblGrid>
      <w:tr>
        <w:trPr/>
        <w:tc>
          <w:tcPr>
            <w:tcW w:w="1980" w:type="dxa"/>
            <w:tcBorders/>
            <w:shd w:fill="auto" w:val="clear"/>
            <w:tcMar>
              <w:left w:w="108" w:type="dxa"/>
            </w:tcMar>
          </w:tcPr>
          <w:p>
            <w:pPr>
              <w:pStyle w:val="Normal"/>
              <w:jc w:val="center"/>
              <w:rPr/>
            </w:pPr>
            <w:r>
              <w:rPr/>
              <w:t>Рейтинг результативності</w:t>
            </w:r>
          </w:p>
        </w:tc>
        <w:tc>
          <w:tcPr>
            <w:tcW w:w="2498" w:type="dxa"/>
            <w:tcBorders/>
            <w:shd w:fill="auto" w:val="clear"/>
            <w:tcMar>
              <w:left w:w="108" w:type="dxa"/>
            </w:tcMar>
          </w:tcPr>
          <w:p>
            <w:pPr>
              <w:pStyle w:val="Normal"/>
              <w:jc w:val="center"/>
              <w:rPr/>
            </w:pPr>
            <w:r>
              <w:rPr/>
              <w:t>Вигоди (підсумок)</w:t>
            </w:r>
          </w:p>
        </w:tc>
        <w:tc>
          <w:tcPr>
            <w:tcW w:w="2746" w:type="dxa"/>
            <w:tcBorders/>
            <w:shd w:fill="auto" w:val="clear"/>
            <w:tcMar>
              <w:left w:w="108" w:type="dxa"/>
            </w:tcMar>
          </w:tcPr>
          <w:p>
            <w:pPr>
              <w:pStyle w:val="Normal"/>
              <w:jc w:val="center"/>
              <w:rPr/>
            </w:pPr>
            <w:r>
              <w:rPr/>
              <w:t>Витрати (підсумок)</w:t>
            </w:r>
          </w:p>
        </w:tc>
        <w:tc>
          <w:tcPr>
            <w:tcW w:w="2385" w:type="dxa"/>
            <w:tcBorders/>
            <w:shd w:fill="auto" w:val="clear"/>
            <w:tcMar>
              <w:left w:w="108" w:type="dxa"/>
            </w:tcMar>
          </w:tcPr>
          <w:p>
            <w:pPr>
              <w:pStyle w:val="Normal"/>
              <w:jc w:val="center"/>
              <w:rPr/>
            </w:pPr>
            <w:r>
              <w:rPr>
                <w:color w:val="000000"/>
                <w:shd w:fill="FFFFFF" w:val="clear"/>
              </w:rPr>
              <w:t>Обґрунтування відповідного місця альтернативи у рейтингу</w:t>
            </w:r>
          </w:p>
        </w:tc>
      </w:tr>
      <w:tr>
        <w:trPr/>
        <w:tc>
          <w:tcPr>
            <w:tcW w:w="1980" w:type="dxa"/>
            <w:tcBorders/>
            <w:shd w:fill="auto" w:val="clear"/>
            <w:tcMar>
              <w:left w:w="108" w:type="dxa"/>
            </w:tcMar>
          </w:tcPr>
          <w:p>
            <w:pPr>
              <w:pStyle w:val="Normal"/>
              <w:jc w:val="center"/>
              <w:rPr/>
            </w:pPr>
            <w:r>
              <w:rPr/>
              <w:t>Альтернатива 1</w:t>
            </w:r>
          </w:p>
        </w:tc>
        <w:tc>
          <w:tcPr>
            <w:tcW w:w="2498" w:type="dxa"/>
            <w:tcBorders/>
            <w:shd w:fill="auto" w:val="clear"/>
            <w:tcMar>
              <w:left w:w="108" w:type="dxa"/>
            </w:tcMar>
          </w:tcPr>
          <w:p>
            <w:pPr>
              <w:pStyle w:val="Normal"/>
              <w:rPr/>
            </w:pPr>
            <w:r>
              <w:rPr/>
              <w:t>Відсутні</w:t>
            </w:r>
          </w:p>
        </w:tc>
        <w:tc>
          <w:tcPr>
            <w:tcW w:w="2746" w:type="dxa"/>
            <w:tcBorders/>
            <w:shd w:fill="auto" w:val="clear"/>
            <w:tcMar>
              <w:left w:w="108" w:type="dxa"/>
            </w:tcMar>
          </w:tcPr>
          <w:p>
            <w:pPr>
              <w:pStyle w:val="Normal"/>
              <w:rPr/>
            </w:pPr>
            <w:r>
              <w:rPr/>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5" w:type="dxa"/>
            <w:tcBorders/>
            <w:shd w:fill="auto" w:val="clear"/>
            <w:tcMar>
              <w:left w:w="108" w:type="dxa"/>
            </w:tcMar>
          </w:tcPr>
          <w:p>
            <w:pPr>
              <w:pStyle w:val="Normal"/>
              <w:rPr>
                <w:color w:val="000000"/>
                <w:highlight w:val="white"/>
              </w:rPr>
            </w:pPr>
            <w:r>
              <w:rPr>
                <w:color w:val="000000"/>
                <w:shd w:fill="FFFFFF" w:val="clear"/>
              </w:rPr>
              <w:t>Цілі не можуть бути досягнуті</w:t>
            </w:r>
          </w:p>
        </w:tc>
      </w:tr>
      <w:tr>
        <w:trPr/>
        <w:tc>
          <w:tcPr>
            <w:tcW w:w="1980" w:type="dxa"/>
            <w:tcBorders/>
            <w:shd w:fill="auto" w:val="clear"/>
            <w:tcMar>
              <w:left w:w="108" w:type="dxa"/>
            </w:tcMar>
          </w:tcPr>
          <w:p>
            <w:pPr>
              <w:pStyle w:val="Normal"/>
              <w:jc w:val="center"/>
              <w:rPr/>
            </w:pPr>
            <w:r>
              <w:rPr/>
              <w:t>Альтернатива 2</w:t>
            </w:r>
          </w:p>
        </w:tc>
        <w:tc>
          <w:tcPr>
            <w:tcW w:w="2498" w:type="dxa"/>
            <w:tcBorders/>
            <w:shd w:fill="auto" w:val="clear"/>
            <w:tcMar>
              <w:left w:w="108" w:type="dxa"/>
            </w:tcMar>
          </w:tcPr>
          <w:p>
            <w:pPr>
              <w:pStyle w:val="Normal"/>
              <w:rPr/>
            </w:pPr>
            <w:r>
              <w:rPr/>
              <w:t>Організація міських</w:t>
            </w:r>
          </w:p>
          <w:p>
            <w:pPr>
              <w:pStyle w:val="Normal"/>
              <w:rPr/>
            </w:pPr>
            <w:r>
              <w:rPr/>
              <w:t>Пасажирських перевезень відповідно до чинного законодавства</w:t>
            </w:r>
          </w:p>
          <w:p>
            <w:pPr>
              <w:pStyle w:val="Normal"/>
              <w:rPr/>
            </w:pPr>
            <w:r>
              <w:rPr/>
              <w:t>України та потреб</w:t>
            </w:r>
          </w:p>
          <w:p>
            <w:pPr>
              <w:pStyle w:val="Normal"/>
              <w:rPr/>
            </w:pPr>
            <w:r>
              <w:rPr/>
              <w:t>мешканців міста;</w:t>
            </w:r>
          </w:p>
          <w:p>
            <w:pPr>
              <w:pStyle w:val="Normal"/>
              <w:rPr/>
            </w:pPr>
            <w:r>
              <w:rPr/>
              <w:t>сприяння подальшому</w:t>
            </w:r>
          </w:p>
          <w:p>
            <w:pPr>
              <w:pStyle w:val="Normal"/>
              <w:rPr/>
            </w:pPr>
            <w:r>
              <w:rPr/>
              <w:t>розвитку конкурентного</w:t>
            </w:r>
          </w:p>
          <w:p>
            <w:pPr>
              <w:pStyle w:val="Normal"/>
              <w:rPr/>
            </w:pPr>
            <w:r>
              <w:rPr/>
              <w:t>середовища у сфері</w:t>
            </w:r>
          </w:p>
          <w:p>
            <w:pPr>
              <w:pStyle w:val="Normal"/>
              <w:rPr/>
            </w:pPr>
            <w:r>
              <w:rPr/>
              <w:t>пасажирських перевезень.</w:t>
            </w:r>
          </w:p>
        </w:tc>
        <w:tc>
          <w:tcPr>
            <w:tcW w:w="2746" w:type="dxa"/>
            <w:tcBorders/>
            <w:shd w:fill="auto" w:val="clear"/>
            <w:tcMar>
              <w:left w:w="108" w:type="dxa"/>
            </w:tcMar>
          </w:tcPr>
          <w:p>
            <w:pPr>
              <w:pStyle w:val="Normal"/>
              <w:rPr/>
            </w:pPr>
            <w:r>
              <w:rPr/>
              <w:t>Витрати часу та</w:t>
            </w:r>
          </w:p>
          <w:p>
            <w:pPr>
              <w:pStyle w:val="Normal"/>
              <w:rPr/>
            </w:pPr>
            <w:r>
              <w:rPr/>
              <w:t>матеріальні ресурси для підготовки</w:t>
            </w:r>
          </w:p>
          <w:p>
            <w:pPr>
              <w:pStyle w:val="Normal"/>
              <w:rPr/>
            </w:pPr>
            <w:r>
              <w:rPr/>
              <w:t>регуляторного акта й</w:t>
            </w:r>
          </w:p>
          <w:p>
            <w:pPr>
              <w:pStyle w:val="Normal"/>
              <w:rPr/>
            </w:pPr>
            <w:r>
              <w:rPr/>
              <w:t>забезпечення виконання його вимог. (1353грн./рік)</w:t>
            </w:r>
          </w:p>
          <w:p>
            <w:pPr>
              <w:pStyle w:val="Normal"/>
              <w:rPr/>
            </w:pPr>
            <w:r>
              <w:rPr/>
              <w:t xml:space="preserve">Для пасажирів зростуть витрати вартості проїзду на 2 грн. </w:t>
            </w:r>
          </w:p>
          <w:p>
            <w:pPr>
              <w:pStyle w:val="Normal"/>
              <w:rPr/>
            </w:pPr>
            <w:r>
              <w:rPr/>
              <w:t>Для суб'єктів господарювання</w:t>
            </w:r>
          </w:p>
          <w:p>
            <w:pPr>
              <w:pStyle w:val="Normal"/>
              <w:rPr/>
            </w:pPr>
            <w:r>
              <w:rPr/>
              <w:t>витрати на провадження</w:t>
            </w:r>
          </w:p>
          <w:p>
            <w:pPr>
              <w:pStyle w:val="Normal"/>
              <w:rPr/>
            </w:pPr>
            <w:r>
              <w:rPr/>
              <w:t>діяльності із забезпечення надання послуг у транспортній</w:t>
            </w:r>
          </w:p>
          <w:p>
            <w:pPr>
              <w:pStyle w:val="Normal"/>
              <w:rPr/>
            </w:pPr>
            <w:r>
              <w:rPr/>
              <w:t>сфері (800 грн./рік)</w:t>
            </w:r>
          </w:p>
        </w:tc>
        <w:tc>
          <w:tcPr>
            <w:tcW w:w="2385" w:type="dxa"/>
            <w:tcBorders/>
            <w:shd w:fill="auto" w:val="clear"/>
            <w:tcMar>
              <w:left w:w="108" w:type="dxa"/>
            </w:tcMar>
          </w:tcPr>
          <w:p>
            <w:pPr>
              <w:pStyle w:val="Normal"/>
              <w:rPr>
                <w:color w:val="000000"/>
                <w:highlight w:val="white"/>
              </w:rPr>
            </w:pPr>
            <w:r>
              <w:rPr>
                <w:color w:val="000000"/>
                <w:shd w:fill="FFFFFF" w:val="clear"/>
              </w:rPr>
              <w:t>Забезпечує досягнення цілей</w:t>
            </w:r>
          </w:p>
          <w:p>
            <w:pPr>
              <w:pStyle w:val="Normal"/>
              <w:rPr>
                <w:color w:val="000000"/>
                <w:highlight w:val="white"/>
              </w:rPr>
            </w:pPr>
            <w:r>
              <w:rPr>
                <w:color w:val="000000"/>
                <w:shd w:fill="FFFFFF" w:val="clear"/>
              </w:rPr>
              <w:t>ухвалення</w:t>
            </w:r>
          </w:p>
          <w:p>
            <w:pPr>
              <w:pStyle w:val="Normal"/>
              <w:rPr>
                <w:color w:val="000000"/>
                <w:highlight w:val="white"/>
              </w:rPr>
            </w:pPr>
            <w:r>
              <w:rPr>
                <w:color w:val="000000"/>
                <w:shd w:fill="FFFFFF" w:val="clear"/>
              </w:rPr>
              <w:t>регуляторного</w:t>
            </w:r>
          </w:p>
          <w:p>
            <w:pPr>
              <w:pStyle w:val="Normal"/>
              <w:rPr>
                <w:color w:val="000000"/>
                <w:highlight w:val="white"/>
              </w:rPr>
            </w:pPr>
            <w:r>
              <w:rPr>
                <w:color w:val="000000"/>
                <w:shd w:fill="FFFFFF" w:val="clear"/>
              </w:rPr>
              <w:t>акта з метою</w:t>
            </w:r>
          </w:p>
          <w:p>
            <w:pPr>
              <w:pStyle w:val="Normal"/>
              <w:rPr>
                <w:color w:val="000000"/>
                <w:highlight w:val="white"/>
              </w:rPr>
            </w:pPr>
            <w:r>
              <w:rPr>
                <w:color w:val="000000"/>
                <w:shd w:fill="FFFFFF" w:val="clear"/>
              </w:rPr>
              <w:t>створення умов</w:t>
            </w:r>
          </w:p>
          <w:p>
            <w:pPr>
              <w:pStyle w:val="Normal"/>
              <w:rPr>
                <w:color w:val="000000"/>
                <w:highlight w:val="white"/>
              </w:rPr>
            </w:pPr>
            <w:r>
              <w:rPr>
                <w:color w:val="000000"/>
                <w:shd w:fill="FFFFFF" w:val="clear"/>
              </w:rPr>
              <w:t>для захисту</w:t>
            </w:r>
          </w:p>
          <w:p>
            <w:pPr>
              <w:pStyle w:val="Normal"/>
              <w:rPr>
                <w:color w:val="000000"/>
                <w:highlight w:val="white"/>
              </w:rPr>
            </w:pPr>
            <w:r>
              <w:rPr>
                <w:color w:val="000000"/>
                <w:shd w:fill="FFFFFF" w:val="clear"/>
              </w:rPr>
              <w:t>пасажирів від</w:t>
            </w:r>
          </w:p>
          <w:p>
            <w:pPr>
              <w:pStyle w:val="Normal"/>
              <w:rPr>
                <w:color w:val="000000"/>
                <w:highlight w:val="white"/>
              </w:rPr>
            </w:pPr>
            <w:r>
              <w:rPr>
                <w:color w:val="000000"/>
                <w:shd w:fill="FFFFFF" w:val="clear"/>
              </w:rPr>
              <w:t>необґрунтованого</w:t>
            </w:r>
          </w:p>
          <w:p>
            <w:pPr>
              <w:pStyle w:val="Normal"/>
              <w:rPr>
                <w:color w:val="000000"/>
                <w:highlight w:val="white"/>
              </w:rPr>
            </w:pPr>
            <w:r>
              <w:rPr>
                <w:color w:val="000000"/>
                <w:shd w:fill="FFFFFF" w:val="clear"/>
              </w:rPr>
              <w:t>збільшення тарифів на</w:t>
            </w:r>
          </w:p>
          <w:p>
            <w:pPr>
              <w:pStyle w:val="Normal"/>
              <w:rPr>
                <w:color w:val="000000"/>
                <w:highlight w:val="white"/>
              </w:rPr>
            </w:pPr>
            <w:r>
              <w:rPr>
                <w:color w:val="000000"/>
                <w:shd w:fill="FFFFFF" w:val="clear"/>
              </w:rPr>
              <w:t>надання транспортних</w:t>
            </w:r>
          </w:p>
          <w:p>
            <w:pPr>
              <w:pStyle w:val="Normal"/>
              <w:rPr>
                <w:color w:val="000000"/>
                <w:highlight w:val="white"/>
              </w:rPr>
            </w:pPr>
            <w:r>
              <w:rPr>
                <w:color w:val="000000"/>
                <w:shd w:fill="FFFFFF" w:val="clear"/>
              </w:rPr>
              <w:t>послуг та</w:t>
            </w:r>
          </w:p>
          <w:p>
            <w:pPr>
              <w:pStyle w:val="Normal"/>
              <w:rPr>
                <w:color w:val="000000"/>
                <w:highlight w:val="white"/>
              </w:rPr>
            </w:pPr>
            <w:r>
              <w:rPr>
                <w:color w:val="000000"/>
                <w:shd w:fill="FFFFFF" w:val="clear"/>
              </w:rPr>
              <w:t>автоперевізників</w:t>
            </w:r>
          </w:p>
          <w:p>
            <w:pPr>
              <w:pStyle w:val="Normal"/>
              <w:rPr>
                <w:color w:val="000000"/>
                <w:highlight w:val="white"/>
              </w:rPr>
            </w:pPr>
            <w:r>
              <w:rPr>
                <w:color w:val="000000"/>
                <w:shd w:fill="FFFFFF" w:val="clear"/>
              </w:rPr>
              <w:t>від провадження</w:t>
            </w:r>
          </w:p>
          <w:p>
            <w:pPr>
              <w:pStyle w:val="Normal"/>
              <w:rPr>
                <w:color w:val="000000"/>
                <w:highlight w:val="white"/>
              </w:rPr>
            </w:pPr>
            <w:r>
              <w:rPr>
                <w:color w:val="000000"/>
                <w:shd w:fill="FFFFFF" w:val="clear"/>
              </w:rPr>
              <w:t>збиткової</w:t>
            </w:r>
          </w:p>
          <w:p>
            <w:pPr>
              <w:pStyle w:val="Normal"/>
              <w:rPr>
                <w:color w:val="000000"/>
                <w:highlight w:val="white"/>
              </w:rPr>
            </w:pPr>
            <w:r>
              <w:rPr>
                <w:color w:val="000000"/>
                <w:shd w:fill="FFFFFF" w:val="clear"/>
              </w:rPr>
              <w:t>господарської</w:t>
            </w:r>
          </w:p>
          <w:p>
            <w:pPr>
              <w:pStyle w:val="Normal"/>
              <w:rPr>
                <w:color w:val="000000"/>
                <w:highlight w:val="white"/>
              </w:rPr>
            </w:pPr>
            <w:r>
              <w:rPr>
                <w:color w:val="000000"/>
                <w:shd w:fill="FFFFFF" w:val="clear"/>
              </w:rPr>
              <w:t>діяльності.</w:t>
            </w:r>
          </w:p>
        </w:tc>
      </w:tr>
    </w:tbl>
    <w:p>
      <w:pPr>
        <w:pStyle w:val="Normal"/>
        <w:rPr/>
      </w:pPr>
      <w:r>
        <w:rPr/>
      </w:r>
    </w:p>
    <w:tbl>
      <w:tblPr>
        <w:tblStyle w:val="afb"/>
        <w:tblW w:w="9610" w:type="dxa"/>
        <w:jc w:val="center"/>
        <w:tblInd w:w="0" w:type="dxa"/>
        <w:tblCellMar>
          <w:top w:w="0" w:type="dxa"/>
          <w:left w:w="108" w:type="dxa"/>
          <w:bottom w:w="0" w:type="dxa"/>
          <w:right w:w="108" w:type="dxa"/>
        </w:tblCellMar>
        <w:tblLook w:firstRow="1" w:noVBand="1" w:lastRow="0" w:firstColumn="1" w:lastColumn="0" w:noHBand="0" w:val="04a0"/>
      </w:tblPr>
      <w:tblGrid>
        <w:gridCol w:w="2263"/>
        <w:gridCol w:w="3686"/>
        <w:gridCol w:w="3661"/>
      </w:tblGrid>
      <w:tr>
        <w:trPr/>
        <w:tc>
          <w:tcPr>
            <w:tcW w:w="2263" w:type="dxa"/>
            <w:tcBorders/>
            <w:shd w:fill="auto" w:val="clear"/>
            <w:tcMar>
              <w:left w:w="108" w:type="dxa"/>
            </w:tcMar>
          </w:tcPr>
          <w:p>
            <w:pPr>
              <w:pStyle w:val="Normal"/>
              <w:rPr/>
            </w:pPr>
            <w:r>
              <w:rPr/>
            </w:r>
          </w:p>
          <w:p>
            <w:pPr>
              <w:pStyle w:val="Normal"/>
              <w:jc w:val="center"/>
              <w:rPr/>
            </w:pPr>
            <w:r>
              <w:rPr/>
              <w:t>Рейтинг</w:t>
            </w:r>
          </w:p>
          <w:p>
            <w:pPr>
              <w:pStyle w:val="Normal"/>
              <w:rPr/>
            </w:pPr>
            <w:r>
              <w:rPr/>
            </w:r>
          </w:p>
        </w:tc>
        <w:tc>
          <w:tcPr>
            <w:tcW w:w="3686" w:type="dxa"/>
            <w:tcBorders/>
            <w:shd w:fill="auto" w:val="clear"/>
            <w:tcMar>
              <w:left w:w="108" w:type="dxa"/>
            </w:tcMar>
          </w:tcPr>
          <w:p>
            <w:pPr>
              <w:pStyle w:val="Normal"/>
              <w:jc w:val="center"/>
              <w:rPr/>
            </w:pPr>
            <w:r>
              <w:rPr/>
              <w:t>Аргументи щодо переваги</w:t>
            </w:r>
          </w:p>
          <w:p>
            <w:pPr>
              <w:pStyle w:val="Normal"/>
              <w:jc w:val="center"/>
              <w:rPr/>
            </w:pPr>
            <w:r>
              <w:rPr/>
              <w:t>обраної альтернативи / причини</w:t>
            </w:r>
          </w:p>
          <w:p>
            <w:pPr>
              <w:pStyle w:val="Normal"/>
              <w:jc w:val="center"/>
              <w:rPr/>
            </w:pPr>
            <w:r>
              <w:rPr/>
              <w:t>відмови від альтернативи</w:t>
            </w:r>
          </w:p>
        </w:tc>
        <w:tc>
          <w:tcPr>
            <w:tcW w:w="3661" w:type="dxa"/>
            <w:tcBorders/>
            <w:shd w:fill="auto" w:val="clear"/>
            <w:tcMar>
              <w:left w:w="108" w:type="dxa"/>
            </w:tcMar>
          </w:tcPr>
          <w:p>
            <w:pPr>
              <w:pStyle w:val="Normal"/>
              <w:jc w:val="center"/>
              <w:rPr>
                <w:color w:val="000000"/>
                <w:highlight w:val="white"/>
              </w:rPr>
            </w:pPr>
            <w:r>
              <w:rPr>
                <w:color w:val="000000"/>
                <w:shd w:fill="FFFFFF" w:val="clear"/>
              </w:rPr>
              <w:t>Оцінка ризику</w:t>
            </w:r>
          </w:p>
          <w:p>
            <w:pPr>
              <w:pStyle w:val="Normal"/>
              <w:jc w:val="center"/>
              <w:rPr>
                <w:color w:val="000000"/>
                <w:highlight w:val="white"/>
              </w:rPr>
            </w:pPr>
            <w:r>
              <w:rPr>
                <w:color w:val="000000"/>
                <w:shd w:fill="FFFFFF" w:val="clear"/>
              </w:rPr>
              <w:t>зовнішніх чинників на</w:t>
            </w:r>
          </w:p>
          <w:p>
            <w:pPr>
              <w:pStyle w:val="Normal"/>
              <w:jc w:val="center"/>
              <w:rPr>
                <w:color w:val="000000"/>
                <w:highlight w:val="white"/>
              </w:rPr>
            </w:pPr>
            <w:r>
              <w:rPr>
                <w:color w:val="000000"/>
                <w:shd w:fill="FFFFFF" w:val="clear"/>
              </w:rPr>
              <w:t>дію запропонованого</w:t>
            </w:r>
          </w:p>
          <w:p>
            <w:pPr>
              <w:pStyle w:val="Normal"/>
              <w:jc w:val="center"/>
              <w:rPr>
                <w:color w:val="000000"/>
                <w:highlight w:val="white"/>
              </w:rPr>
            </w:pPr>
            <w:r>
              <w:rPr>
                <w:color w:val="000000"/>
                <w:shd w:fill="FFFFFF" w:val="clear"/>
              </w:rPr>
              <w:t>регуляторного акту</w:t>
            </w:r>
          </w:p>
        </w:tc>
      </w:tr>
      <w:tr>
        <w:trPr/>
        <w:tc>
          <w:tcPr>
            <w:tcW w:w="2263" w:type="dxa"/>
            <w:tcBorders/>
            <w:shd w:fill="auto" w:val="clear"/>
            <w:tcMar>
              <w:left w:w="108" w:type="dxa"/>
            </w:tcMar>
          </w:tcPr>
          <w:p>
            <w:pPr>
              <w:pStyle w:val="Normal"/>
              <w:rPr/>
            </w:pPr>
            <w:r>
              <w:rPr/>
              <w:t>Альтернатива 1</w:t>
            </w:r>
          </w:p>
        </w:tc>
        <w:tc>
          <w:tcPr>
            <w:tcW w:w="3686" w:type="dxa"/>
            <w:tcBorders/>
            <w:shd w:fill="auto" w:val="clear"/>
            <w:tcMar>
              <w:left w:w="108" w:type="dxa"/>
            </w:tcMar>
          </w:tcPr>
          <w:p>
            <w:pPr>
              <w:pStyle w:val="Normal"/>
              <w:rPr/>
            </w:pPr>
            <w:r>
              <w:rPr/>
              <w:t>Проблема залишається</w:t>
            </w:r>
          </w:p>
          <w:p>
            <w:pPr>
              <w:pStyle w:val="Normal"/>
              <w:rPr/>
            </w:pPr>
            <w:r>
              <w:rPr/>
              <w:t>невирішеною. Призведе до</w:t>
            </w:r>
          </w:p>
          <w:p>
            <w:pPr>
              <w:pStyle w:val="Normal"/>
              <w:rPr/>
            </w:pPr>
            <w:r>
              <w:rPr/>
              <w:t>недотримання вимог статті 10</w:t>
            </w:r>
          </w:p>
          <w:p>
            <w:pPr>
              <w:pStyle w:val="Normal"/>
              <w:rPr/>
            </w:pPr>
            <w:r>
              <w:rPr/>
              <w:t>Закону України "Про автомобільний транспорт",</w:t>
            </w:r>
          </w:p>
          <w:p>
            <w:pPr>
              <w:pStyle w:val="Normal"/>
              <w:rPr/>
            </w:pPr>
            <w:r>
              <w:rPr/>
              <w:t>погіршення фінансового стану</w:t>
            </w:r>
          </w:p>
          <w:p>
            <w:pPr>
              <w:pStyle w:val="Normal"/>
              <w:rPr/>
            </w:pPr>
            <w:r>
              <w:rPr/>
              <w:t>авто підприємств-перевізників,</w:t>
            </w:r>
          </w:p>
          <w:p>
            <w:pPr>
              <w:pStyle w:val="Normal"/>
              <w:rPr/>
            </w:pPr>
            <w:r>
              <w:rPr/>
              <w:t>втрати кваліфікованих</w:t>
            </w:r>
          </w:p>
          <w:p>
            <w:pPr>
              <w:pStyle w:val="Normal"/>
              <w:rPr/>
            </w:pPr>
            <w:r>
              <w:rPr/>
              <w:t>працівників, і як результат,</w:t>
            </w:r>
          </w:p>
          <w:p>
            <w:pPr>
              <w:pStyle w:val="Normal"/>
              <w:rPr/>
            </w:pPr>
            <w:r>
              <w:rPr/>
              <w:t>припинення діяльності з</w:t>
            </w:r>
          </w:p>
          <w:p>
            <w:pPr>
              <w:pStyle w:val="Normal"/>
              <w:rPr/>
            </w:pPr>
            <w:r>
              <w:rPr/>
              <w:t>надання пасажирських послуг</w:t>
            </w:r>
          </w:p>
          <w:p>
            <w:pPr>
              <w:pStyle w:val="Normal"/>
              <w:rPr/>
            </w:pPr>
            <w:r>
              <w:rPr/>
              <w:t>громадянам.</w:t>
            </w:r>
          </w:p>
        </w:tc>
        <w:tc>
          <w:tcPr>
            <w:tcW w:w="3661" w:type="dxa"/>
            <w:tcBorders/>
            <w:shd w:fill="auto" w:val="clear"/>
            <w:tcMar>
              <w:left w:w="108" w:type="dxa"/>
            </w:tcM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r>
        <w:trPr/>
        <w:tc>
          <w:tcPr>
            <w:tcW w:w="2263" w:type="dxa"/>
            <w:tcBorders/>
            <w:shd w:fill="auto" w:val="clear"/>
            <w:tcMar>
              <w:left w:w="108" w:type="dxa"/>
            </w:tcMar>
          </w:tcPr>
          <w:p>
            <w:pPr>
              <w:pStyle w:val="Normal"/>
              <w:rPr/>
            </w:pPr>
            <w:r>
              <w:rPr/>
              <w:t>Альтернатива 2</w:t>
            </w:r>
          </w:p>
        </w:tc>
        <w:tc>
          <w:tcPr>
            <w:tcW w:w="3686" w:type="dxa"/>
            <w:tcBorders/>
            <w:shd w:fill="auto" w:val="clear"/>
            <w:tcMar>
              <w:left w:w="108" w:type="dxa"/>
            </w:tcMar>
          </w:tcPr>
          <w:p>
            <w:pPr>
              <w:pStyle w:val="Normal"/>
              <w:jc w:val="both"/>
              <w:rPr/>
            </w:pPr>
            <w:r>
              <w:rPr/>
              <w:t>При упровадженні зазначеної</w:t>
            </w:r>
          </w:p>
          <w:p>
            <w:pPr>
              <w:pStyle w:val="Normal"/>
              <w:jc w:val="both"/>
              <w:rPr/>
            </w:pPr>
            <w:r>
              <w:rPr/>
              <w:t>альтернативи забезпечується</w:t>
            </w:r>
          </w:p>
          <w:p>
            <w:pPr>
              <w:pStyle w:val="Normal"/>
              <w:jc w:val="both"/>
              <w:rPr/>
            </w:pPr>
            <w:r>
              <w:rPr/>
              <w:t>виконання вимог статті 10</w:t>
            </w:r>
          </w:p>
          <w:p>
            <w:pPr>
              <w:pStyle w:val="Normal"/>
              <w:jc w:val="both"/>
              <w:rPr/>
            </w:pPr>
            <w:r>
              <w:rPr/>
              <w:t>Закону України "Про</w:t>
            </w:r>
          </w:p>
          <w:p>
            <w:pPr>
              <w:pStyle w:val="Normal"/>
              <w:jc w:val="both"/>
              <w:rPr/>
            </w:pPr>
            <w:r>
              <w:rPr/>
              <w:t>автомобільний транспорт".</w:t>
            </w:r>
          </w:p>
          <w:p>
            <w:pPr>
              <w:pStyle w:val="Normal"/>
              <w:jc w:val="both"/>
              <w:rPr/>
            </w:pPr>
            <w:r>
              <w:rPr/>
              <w:t>Організація міських</w:t>
            </w:r>
          </w:p>
          <w:p>
            <w:pPr>
              <w:pStyle w:val="Normal"/>
              <w:jc w:val="both"/>
              <w:rPr/>
            </w:pPr>
            <w:r>
              <w:rPr/>
              <w:t>пасажирських перевезень</w:t>
            </w:r>
          </w:p>
          <w:p>
            <w:pPr>
              <w:pStyle w:val="Normal"/>
              <w:jc w:val="both"/>
              <w:rPr/>
            </w:pPr>
            <w:r>
              <w:rPr/>
              <w:t>відповідно до законодавства</w:t>
            </w:r>
          </w:p>
          <w:p>
            <w:pPr>
              <w:pStyle w:val="Normal"/>
              <w:jc w:val="both"/>
              <w:rPr/>
            </w:pPr>
            <w:r>
              <w:rPr/>
              <w:t>України та потреб мешканців</w:t>
            </w:r>
          </w:p>
          <w:p>
            <w:pPr>
              <w:pStyle w:val="Normal"/>
              <w:jc w:val="both"/>
              <w:rPr/>
            </w:pPr>
            <w:r>
              <w:rPr/>
              <w:t>міста, сприяння подальшому</w:t>
            </w:r>
          </w:p>
          <w:p>
            <w:pPr>
              <w:pStyle w:val="Normal"/>
              <w:jc w:val="both"/>
              <w:rPr/>
            </w:pPr>
            <w:r>
              <w:rPr/>
              <w:t>розвитку конкурентного</w:t>
            </w:r>
          </w:p>
          <w:p>
            <w:pPr>
              <w:pStyle w:val="Normal"/>
              <w:jc w:val="both"/>
              <w:rPr/>
            </w:pPr>
            <w:r>
              <w:rPr/>
              <w:t>середовища у сфері надання</w:t>
            </w:r>
          </w:p>
          <w:p>
            <w:pPr>
              <w:pStyle w:val="Normal"/>
              <w:jc w:val="both"/>
              <w:rPr/>
            </w:pPr>
            <w:r>
              <w:rPr/>
              <w:t>послуг з перевезення пасажирів.</w:t>
            </w:r>
          </w:p>
        </w:tc>
        <w:tc>
          <w:tcPr>
            <w:tcW w:w="3661" w:type="dxa"/>
            <w:tcBorders/>
            <w:shd w:fill="auto" w:val="clear"/>
            <w:tcMar>
              <w:left w:w="108" w:type="dxa"/>
            </w:tcM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bl>
    <w:p>
      <w:pPr>
        <w:pStyle w:val="Normal"/>
        <w:ind w:firstLine="708"/>
        <w:jc w:val="both"/>
        <w:rPr>
          <w:sz w:val="28"/>
          <w:szCs w:val="28"/>
        </w:rPr>
      </w:pPr>
      <w:r>
        <w:rPr>
          <w:sz w:val="28"/>
          <w:szCs w:val="28"/>
        </w:rPr>
      </w:r>
    </w:p>
    <w:p>
      <w:pPr>
        <w:pStyle w:val="Normal"/>
        <w:ind w:firstLine="708"/>
        <w:jc w:val="both"/>
        <w:rPr>
          <w:sz w:val="28"/>
          <w:szCs w:val="28"/>
        </w:rPr>
      </w:pPr>
      <w:r>
        <w:rPr>
          <w:sz w:val="28"/>
          <w:szCs w:val="28"/>
        </w:rPr>
        <w:t xml:space="preserve">Вирішення проблеми можливе лише шляхом ухвалення даного проєкту рішення, яким в місті Мукачево встановлюється тариф на перевезення одного пасажира автобусами міського сполучення, що працюють в режимі руху «маршрутне таксі», на рівні економічно обґрунтованого, що складатиме 7 грн. </w:t>
      </w:r>
    </w:p>
    <w:p>
      <w:pPr>
        <w:pStyle w:val="Normal"/>
        <w:ind w:firstLine="708"/>
        <w:jc w:val="both"/>
        <w:rPr>
          <w:sz w:val="28"/>
          <w:szCs w:val="28"/>
        </w:rPr>
      </w:pPr>
      <w:r>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pPr>
        <w:pStyle w:val="Normal"/>
        <w:ind w:firstLine="708"/>
        <w:jc w:val="both"/>
        <w:rPr>
          <w:sz w:val="28"/>
          <w:szCs w:val="28"/>
        </w:rPr>
      </w:pPr>
      <w:r>
        <w:rPr>
          <w:sz w:val="28"/>
          <w:szCs w:val="28"/>
        </w:rPr>
        <w:t>На дію регуляторного акта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pPr>
        <w:pStyle w:val="Normal"/>
        <w:spacing w:lineRule="exact" w:line="316"/>
        <w:rPr/>
      </w:pPr>
      <w:r>
        <w:rPr/>
      </w:r>
    </w:p>
    <w:p>
      <w:pPr>
        <w:pStyle w:val="Normal"/>
        <w:spacing w:lineRule="auto" w:line="232"/>
        <w:ind w:left="1680" w:right="640" w:hanging="0"/>
        <w:jc w:val="center"/>
        <w:rPr>
          <w:b/>
          <w:b/>
          <w:sz w:val="28"/>
        </w:rPr>
      </w:pPr>
      <w:r>
        <w:rPr>
          <w:b/>
          <w:sz w:val="28"/>
        </w:rPr>
        <w:t>V. Механізми та заходи, які забезпечать розв’язання визначеної проблеми</w:t>
      </w:r>
    </w:p>
    <w:p>
      <w:pPr>
        <w:pStyle w:val="Normal"/>
        <w:spacing w:lineRule="auto" w:line="235"/>
        <w:jc w:val="both"/>
        <w:rPr/>
      </w:pPr>
      <w:r>
        <w:rPr/>
      </w:r>
    </w:p>
    <w:p>
      <w:pPr>
        <w:pStyle w:val="Normal"/>
        <w:ind w:firstLine="708"/>
        <w:jc w:val="both"/>
        <w:rPr>
          <w:sz w:val="28"/>
        </w:rPr>
      </w:pPr>
      <w:r>
        <w:rPr>
          <w:sz w:val="28"/>
        </w:rPr>
        <w:t>Механізм дії запропонованого регуляторного акту спрямований на приведення тарифу на перевезення пасажирів у міському пасажирському автотранспорті в місті Мукачево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w:t>
      </w:r>
    </w:p>
    <w:p>
      <w:pPr>
        <w:pStyle w:val="Normal"/>
        <w:ind w:firstLine="708"/>
        <w:jc w:val="both"/>
        <w:rPr>
          <w:sz w:val="28"/>
        </w:rPr>
      </w:pPr>
      <w:r>
        <w:rPr>
          <w:sz w:val="28"/>
        </w:rPr>
        <w:t>Також підвищить якість надання послуг з перевезення пасажирів та безпеку пасажирських перевезень. Суб’єкти господарювання матимуть можливість закупати необхідні запасні частини, витратні матеріали і своєчасно здійснювати поточні та капітальні ремонти транспортних засобів. Крім того, збільшення доходів підприємств-перевізників дозволить виконувати умови договорів на регулярні перевезення, в частині наявності необхідної кількості транспортних засобів на маршрутах, і затверджених графіків або інтервалів руху, особливо у вечірні години доби.</w:t>
      </w:r>
    </w:p>
    <w:p>
      <w:pPr>
        <w:pStyle w:val="Normal"/>
        <w:ind w:firstLine="708"/>
        <w:jc w:val="both"/>
        <w:rPr>
          <w:sz w:val="28"/>
        </w:rPr>
      </w:pPr>
      <w:r>
        <w:rPr>
          <w:sz w:val="28"/>
        </w:rPr>
        <w:t>Перевізниками надані розрахунки щодо встановлення в місті Мукачево тарифу на перевезення одного пасажира автобусами міського сполучення, що працюють в режимі руху «маршрутне таксі», розроблені відповідно до встановленої Методики.</w:t>
      </w:r>
    </w:p>
    <w:p>
      <w:pPr>
        <w:pStyle w:val="Normal"/>
        <w:ind w:firstLine="708"/>
        <w:jc w:val="both"/>
        <w:rPr>
          <w:sz w:val="28"/>
        </w:rPr>
      </w:pPr>
      <w:r>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 проблеми й ґрунтується на загальнообов'язковості виконання норм зазначеного рішення всіма учасниками.</w:t>
      </w:r>
    </w:p>
    <w:p>
      <w:pPr>
        <w:pStyle w:val="Normal"/>
        <w:ind w:firstLine="708"/>
        <w:jc w:val="both"/>
        <w:rPr>
          <w:sz w:val="27"/>
        </w:rPr>
      </w:pPr>
      <w:r>
        <w:rPr>
          <w:sz w:val="28"/>
        </w:rPr>
        <w:t>Даний проєкт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міста,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Pr>
          <w:sz w:val="27"/>
        </w:rPr>
        <w:t xml:space="preserve"> </w:t>
      </w:r>
    </w:p>
    <w:p>
      <w:pPr>
        <w:pStyle w:val="Normal"/>
        <w:spacing w:lineRule="exact" w:line="335"/>
        <w:rPr/>
      </w:pPr>
      <w:r>
        <w:rPr/>
      </w:r>
    </w:p>
    <w:p>
      <w:pPr>
        <w:pStyle w:val="Normal"/>
        <w:spacing w:lineRule="auto" w:line="235"/>
        <w:ind w:left="260" w:right="20" w:hanging="0"/>
        <w:jc w:val="center"/>
        <w:rPr>
          <w:b/>
          <w:b/>
          <w:sz w:val="28"/>
        </w:rPr>
      </w:pPr>
      <w:r>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spacing w:lineRule="exact" w:line="342"/>
        <w:rPr/>
      </w:pPr>
      <w:r>
        <w:rPr/>
      </w:r>
    </w:p>
    <w:p>
      <w:pPr>
        <w:pStyle w:val="Normal"/>
        <w:ind w:right="20" w:firstLine="708"/>
        <w:jc w:val="both"/>
        <w:rPr>
          <w:sz w:val="28"/>
          <w:szCs w:val="28"/>
        </w:rPr>
      </w:pPr>
      <w:r>
        <w:rPr>
          <w:sz w:val="28"/>
          <w:szCs w:val="28"/>
        </w:rPr>
        <w:t>Дія регуляторного акта розповсюджується на суб’єктів господарювання, які організовують і провадять діяльність з надання послуг з перевезення пасажирів у м. Мукачево (додатки 1 - 3: витрати на одного суб’єкта господарювання великого й середнього підприємництва, що виникають унаслідок дії регуляторного акта, бюджетні витрати на адміністрування суб’єктів великого й середнього підприємництва, ТЕСТ малого підприємництва /М-Тест/).</w:t>
      </w:r>
    </w:p>
    <w:p>
      <w:pPr>
        <w:pStyle w:val="Normal"/>
        <w:ind w:right="20" w:firstLine="708"/>
        <w:jc w:val="both"/>
        <w:rPr>
          <w:sz w:val="28"/>
          <w:szCs w:val="28"/>
        </w:rPr>
      </w:pPr>
      <w:r>
        <w:rPr>
          <w:sz w:val="28"/>
          <w:szCs w:val="28"/>
        </w:rPr>
        <w:t xml:space="preserve">Ухвалення цього регуляторного акта дасть змогу установлення тариф на перевезення одного пасажира автобусами міського сполучення, що працюють в режимі руху «маршрутне таксі», розрахунок якого виконано відповідно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міста Мукачево </w:t>
      </w:r>
      <w:r>
        <w:rPr>
          <w:rFonts w:eastAsia="Arial Narrow"/>
          <w:sz w:val="28"/>
          <w:szCs w:val="28"/>
        </w:rPr>
        <w:t xml:space="preserve">– </w:t>
      </w:r>
      <w:r>
        <w:rPr>
          <w:sz w:val="28"/>
          <w:szCs w:val="28"/>
        </w:rPr>
        <w:t>забезпечить надання сталих послуг з пасажирських перевезень,</w:t>
      </w:r>
      <w:r>
        <w:rPr>
          <w:rFonts w:eastAsia="Arial Narrow"/>
          <w:sz w:val="28"/>
          <w:szCs w:val="28"/>
        </w:rPr>
        <w:t xml:space="preserve"> </w:t>
      </w:r>
      <w:r>
        <w:rPr>
          <w:sz w:val="28"/>
          <w:szCs w:val="28"/>
        </w:rPr>
        <w:t>для перевізників</w:t>
      </w:r>
      <w:r>
        <w:rPr>
          <w:rFonts w:eastAsia="Arial Narrow"/>
          <w:sz w:val="28"/>
          <w:szCs w:val="28"/>
        </w:rPr>
        <w:t xml:space="preserve"> – </w:t>
      </w:r>
      <w:r>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 міста.</w:t>
      </w:r>
    </w:p>
    <w:p>
      <w:pPr>
        <w:pStyle w:val="Normal"/>
        <w:ind w:right="40" w:firstLine="708"/>
        <w:jc w:val="both"/>
        <w:rPr>
          <w:sz w:val="28"/>
          <w:szCs w:val="28"/>
        </w:rPr>
      </w:pPr>
      <w:r>
        <w:rPr>
          <w:sz w:val="28"/>
          <w:szCs w:val="28"/>
        </w:rPr>
        <w:t>Таким чином, отримується загальний позитивний ефект від запровадження регуляторного акта.</w:t>
      </w:r>
    </w:p>
    <w:p>
      <w:pPr>
        <w:pStyle w:val="Normal"/>
        <w:spacing w:lineRule="exact" w:line="244"/>
        <w:rPr/>
      </w:pPr>
      <w:r>
        <w:rPr/>
      </w:r>
    </w:p>
    <w:p>
      <w:pPr>
        <w:pStyle w:val="Normal"/>
        <w:tabs>
          <w:tab w:val="left" w:pos="1140" w:leader="none"/>
        </w:tabs>
        <w:spacing w:lineRule="auto"/>
        <w:ind w:left="440" w:hanging="0"/>
        <w:rPr>
          <w:b/>
          <w:b/>
          <w:sz w:val="27"/>
        </w:rPr>
      </w:pPr>
      <w:r>
        <w:rPr>
          <w:b/>
          <w:sz w:val="28"/>
        </w:rPr>
        <w:t>VII.</w:t>
      </w:r>
      <w:r>
        <w:rPr/>
        <w:tab/>
      </w:r>
      <w:r>
        <w:rPr>
          <w:b/>
          <w:sz w:val="27"/>
        </w:rPr>
        <w:t>Обґрунтування терміну дії запропонованого регуляторного акта.</w:t>
      </w:r>
    </w:p>
    <w:p>
      <w:pPr>
        <w:pStyle w:val="Normal"/>
        <w:spacing w:lineRule="auto" w:line="235"/>
        <w:ind w:right="20" w:hanging="0"/>
        <w:jc w:val="both"/>
        <w:rPr/>
      </w:pPr>
      <w:r>
        <w:rPr/>
      </w:r>
    </w:p>
    <w:p>
      <w:pPr>
        <w:pStyle w:val="Normal"/>
        <w:spacing w:lineRule="auto" w:line="235"/>
        <w:ind w:right="20" w:firstLine="440"/>
        <w:jc w:val="both"/>
        <w:rPr>
          <w:sz w:val="28"/>
        </w:rPr>
      </w:pPr>
      <w:r>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pPr>
        <w:pStyle w:val="Normal"/>
        <w:spacing w:lineRule="exact" w:line="255"/>
        <w:rPr/>
      </w:pPr>
      <w:r>
        <w:rPr/>
      </w:r>
    </w:p>
    <w:p>
      <w:pPr>
        <w:pStyle w:val="Normal"/>
        <w:tabs>
          <w:tab w:val="left" w:pos="2220" w:leader="none"/>
        </w:tabs>
        <w:spacing w:lineRule="auto"/>
        <w:ind w:left="1360" w:hanging="0"/>
        <w:rPr>
          <w:b/>
          <w:b/>
          <w:sz w:val="27"/>
        </w:rPr>
      </w:pPr>
      <w:r>
        <w:rPr>
          <w:b/>
          <w:sz w:val="28"/>
        </w:rPr>
        <w:t>VIII.</w:t>
      </w:r>
      <w:r>
        <w:rPr/>
        <w:tab/>
      </w:r>
      <w:r>
        <w:rPr>
          <w:b/>
          <w:sz w:val="27"/>
        </w:rPr>
        <w:t>Показники результативності регуляторного акту</w:t>
      </w:r>
    </w:p>
    <w:p>
      <w:pPr>
        <w:pStyle w:val="Normal"/>
        <w:tabs>
          <w:tab w:val="left" w:pos="567" w:leader="none"/>
        </w:tabs>
        <w:suppressAutoHyphens w:val="false"/>
        <w:spacing w:lineRule="auto"/>
        <w:jc w:val="both"/>
        <w:rPr>
          <w:sz w:val="28"/>
          <w:szCs w:val="28"/>
        </w:rPr>
      </w:pPr>
      <w:r>
        <w:rPr>
          <w:sz w:val="28"/>
          <w:szCs w:val="28"/>
        </w:rPr>
        <w:tab/>
        <w:t xml:space="preserve">Дія регуляторного акта  поширюється на суб'єктів  господарювання, які надають послуги з перевезень пасажирів, та на невизначене коло громадян. </w:t>
      </w:r>
    </w:p>
    <w:p>
      <w:pPr>
        <w:pStyle w:val="Normal"/>
        <w:tabs>
          <w:tab w:val="left" w:pos="567" w:leader="none"/>
        </w:tabs>
        <w:suppressAutoHyphens w:val="false"/>
        <w:spacing w:lineRule="auto"/>
        <w:jc w:val="both"/>
        <w:rPr>
          <w:sz w:val="28"/>
          <w:szCs w:val="28"/>
        </w:rPr>
      </w:pPr>
      <w:r>
        <w:rPr>
          <w:sz w:val="28"/>
          <w:szCs w:val="28"/>
        </w:rPr>
        <w:tab/>
        <w:t>Основними показниками результативності регуляторного акта є:</w:t>
      </w:r>
    </w:p>
    <w:p>
      <w:pPr>
        <w:pStyle w:val="Normal"/>
        <w:tabs>
          <w:tab w:val="left" w:pos="567" w:leader="none"/>
        </w:tabs>
        <w:suppressAutoHyphens w:val="false"/>
        <w:spacing w:lineRule="auto"/>
        <w:jc w:val="both"/>
        <w:rPr>
          <w:sz w:val="28"/>
          <w:szCs w:val="28"/>
        </w:rPr>
      </w:pPr>
      <w:r>
        <w:rPr>
          <w:sz w:val="28"/>
          <w:szCs w:val="28"/>
        </w:rPr>
        <w:tab/>
        <w:t xml:space="preserve">1. Кількість суб’єктів господарювання на яких поширюється дія акта – 11. </w:t>
      </w:r>
    </w:p>
    <w:p>
      <w:pPr>
        <w:pStyle w:val="Normal"/>
        <w:tabs>
          <w:tab w:val="left" w:pos="567" w:leader="none"/>
        </w:tabs>
        <w:suppressAutoHyphens w:val="false"/>
        <w:spacing w:lineRule="auto"/>
        <w:jc w:val="both"/>
        <w:rPr>
          <w:sz w:val="28"/>
          <w:szCs w:val="28"/>
        </w:rPr>
      </w:pPr>
      <w:r>
        <w:rPr>
          <w:sz w:val="28"/>
          <w:szCs w:val="28"/>
        </w:rPr>
        <w:tab/>
        <w:t xml:space="preserve">2. Розмір надходжень до місцевого бюджету пов'язаних з дією акта - </w:t>
      </w:r>
    </w:p>
    <w:p>
      <w:pPr>
        <w:pStyle w:val="Normal"/>
        <w:tabs>
          <w:tab w:val="left" w:pos="567" w:leader="none"/>
        </w:tabs>
        <w:suppressAutoHyphens w:val="false"/>
        <w:spacing w:lineRule="auto"/>
        <w:jc w:val="both"/>
        <w:rPr>
          <w:sz w:val="28"/>
          <w:szCs w:val="28"/>
        </w:rPr>
      </w:pPr>
      <w:r>
        <w:rPr>
          <w:sz w:val="28"/>
          <w:szCs w:val="28"/>
        </w:rPr>
        <w:tab/>
        <w:t xml:space="preserve">3. Розмір коштів, що виплачуються перевізникам за перевезених пасажирів пільгової категорії - </w:t>
      </w:r>
    </w:p>
    <w:p>
      <w:pPr>
        <w:pStyle w:val="Normal"/>
        <w:tabs>
          <w:tab w:val="left" w:pos="567" w:leader="none"/>
        </w:tabs>
        <w:suppressAutoHyphens w:val="false"/>
        <w:spacing w:lineRule="auto"/>
        <w:jc w:val="both"/>
        <w:rPr>
          <w:sz w:val="28"/>
          <w:szCs w:val="28"/>
        </w:rPr>
      </w:pPr>
      <w:r>
        <w:rPr>
          <w:sz w:val="28"/>
          <w:szCs w:val="28"/>
        </w:rPr>
        <w:tab/>
        <w:t xml:space="preserve">4. Кількість скарг від споживачів послуг пасажирських перевезень - </w:t>
      </w:r>
    </w:p>
    <w:p>
      <w:pPr>
        <w:pStyle w:val="Normal"/>
        <w:tabs>
          <w:tab w:val="left" w:pos="567" w:leader="none"/>
        </w:tabs>
        <w:suppressAutoHyphens w:val="false"/>
        <w:spacing w:lineRule="auto"/>
        <w:jc w:val="both"/>
        <w:rPr>
          <w:sz w:val="28"/>
          <w:szCs w:val="28"/>
        </w:rPr>
      </w:pPr>
      <w:r>
        <w:rPr>
          <w:sz w:val="28"/>
          <w:szCs w:val="28"/>
        </w:rPr>
        <w:tab/>
        <w:t>5. Рівень поінформованості суб’єктів господарювання з основних положень акта – 100%.</w:t>
      </w:r>
    </w:p>
    <w:p>
      <w:pPr>
        <w:pStyle w:val="Normal"/>
        <w:spacing w:lineRule="exact" w:line="337"/>
        <w:rPr/>
      </w:pPr>
      <w:r>
        <w:rPr/>
      </w:r>
    </w:p>
    <w:p>
      <w:pPr>
        <w:pStyle w:val="Normal"/>
        <w:spacing w:lineRule="auto" w:line="244"/>
        <w:ind w:left="260" w:hanging="0"/>
        <w:jc w:val="center"/>
        <w:rPr>
          <w:b/>
          <w:b/>
          <w:sz w:val="27"/>
        </w:rPr>
      </w:pPr>
      <w:r>
        <w:rPr>
          <w:b/>
          <w:sz w:val="27"/>
        </w:rPr>
        <w:t>IX. Визначення заходів, за допомогою яких здійснюватиметься відстеження результативності дії регуляторного акту</w:t>
      </w:r>
    </w:p>
    <w:p>
      <w:pPr>
        <w:pStyle w:val="Normal"/>
        <w:tabs>
          <w:tab w:val="left" w:pos="7140" w:leader="none"/>
        </w:tabs>
        <w:spacing w:lineRule="auto"/>
        <w:rPr>
          <w:sz w:val="28"/>
        </w:rPr>
      </w:pPr>
      <w:r>
        <w:rPr>
          <w:sz w:val="28"/>
        </w:rPr>
      </w:r>
    </w:p>
    <w:p>
      <w:pPr>
        <w:pStyle w:val="Normal"/>
        <w:ind w:firstLine="708"/>
        <w:jc w:val="both"/>
        <w:rPr/>
      </w:pPr>
      <w:r>
        <w:rPr>
          <w:sz w:val="28"/>
          <w:szCs w:val="28"/>
        </w:rPr>
        <w:t xml:space="preserve">Відстеження результативності регуляторного акта буде здійснюватися Управлінням міського господарства виконавчого комітету Мукачівської міської ради. </w:t>
      </w:r>
    </w:p>
    <w:p>
      <w:pPr>
        <w:pStyle w:val="Normal"/>
        <w:ind w:firstLine="708"/>
        <w:jc w:val="both"/>
        <w:rPr/>
      </w:pPr>
      <w:r>
        <w:rPr>
          <w:b/>
          <w:sz w:val="28"/>
          <w:szCs w:val="28"/>
        </w:rPr>
        <w:t>Метод проведення відстеження результативності:</w:t>
      </w:r>
    </w:p>
    <w:p>
      <w:pPr>
        <w:pStyle w:val="Normal"/>
        <w:ind w:firstLine="708"/>
        <w:jc w:val="both"/>
        <w:rPr/>
      </w:pPr>
      <w:r>
        <w:rPr>
          <w:sz w:val="28"/>
          <w:szCs w:val="28"/>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господарсвта, Центру надання адміністративних послуг та інших підприємств/установ/ організацій.</w:t>
      </w:r>
    </w:p>
    <w:p>
      <w:pPr>
        <w:pStyle w:val="Normal"/>
        <w:ind w:firstLine="709"/>
        <w:jc w:val="both"/>
        <w:rPr/>
      </w:pPr>
      <w:r>
        <w:rPr>
          <w:color w:val="000000"/>
          <w:sz w:val="28"/>
          <w:szCs w:val="28"/>
        </w:rPr>
        <w:t>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pPr>
      <w:r>
        <w:rPr>
          <w:color w:val="000000"/>
          <w:sz w:val="28"/>
          <w:szCs w:val="28"/>
        </w:rPr>
        <w:t>Повторне відстеження буде здійснюватися через рік після набрання чинності регуляторного акта.</w:t>
      </w:r>
    </w:p>
    <w:p>
      <w:pPr>
        <w:pStyle w:val="Normal"/>
        <w:ind w:firstLine="709"/>
        <w:jc w:val="both"/>
        <w:rPr/>
      </w:pPr>
      <w:r>
        <w:rPr>
          <w:color w:val="000000"/>
          <w:sz w:val="28"/>
          <w:szCs w:val="28"/>
        </w:rPr>
        <w:t>Періодичні відстеження планується здійснювати один раз в три роки, з дня виконання заходів повторного відстеження.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pStyle w:val="Normal"/>
        <w:suppressAutoHyphens w:val="false"/>
        <w:rPr>
          <w:b/>
          <w:b/>
          <w:bCs/>
          <w:sz w:val="28"/>
          <w:szCs w:val="28"/>
        </w:rPr>
      </w:pPr>
      <w:r>
        <w:rPr>
          <w:b/>
          <w:bCs/>
          <w:sz w:val="28"/>
          <w:szCs w:val="28"/>
        </w:rPr>
        <w:t xml:space="preserve">Начальник УМГ </w:t>
        <w:tab/>
        <w:tab/>
        <w:tab/>
        <w:tab/>
        <w:tab/>
        <w:tab/>
        <w:tab/>
        <w:tab/>
        <w:t xml:space="preserve">    В. Гасинець</w:t>
      </w:r>
    </w:p>
    <w:p>
      <w:pPr>
        <w:sectPr>
          <w:type w:val="nextPage"/>
          <w:pgSz w:w="11906" w:h="16838"/>
          <w:pgMar w:left="1440" w:right="784" w:header="0" w:top="1130" w:footer="0" w:bottom="1440" w:gutter="0"/>
          <w:pgNumType w:fmt="decimal"/>
          <w:formProt w:val="false"/>
          <w:textDirection w:val="lrTb"/>
          <w:docGrid w:type="default" w:linePitch="360" w:charSpace="4294961151"/>
        </w:sectPr>
        <w:pStyle w:val="Normal"/>
        <w:suppressAutoHyphens w:val="false"/>
        <w:rPr>
          <w:b/>
          <w:b/>
          <w:sz w:val="27"/>
        </w:rPr>
      </w:pPr>
      <w:bookmarkStart w:id="6" w:name="page18"/>
      <w:bookmarkStart w:id="7" w:name="page18"/>
      <w:bookmarkEnd w:id="7"/>
      <w:r>
        <w:rPr>
          <w:b/>
          <w:sz w:val="27"/>
        </w:rPr>
      </w:r>
    </w:p>
    <w:p>
      <w:pPr>
        <w:pStyle w:val="Normal"/>
        <w:spacing w:lineRule="auto"/>
        <w:ind w:left="4248" w:hanging="0"/>
        <w:rPr>
          <w:i/>
          <w:i/>
          <w:sz w:val="28"/>
        </w:rPr>
      </w:pPr>
      <w:r>
        <w:rPr>
          <w:i/>
          <w:sz w:val="28"/>
        </w:rPr>
        <w:t>Додаток до</w:t>
      </w:r>
      <w:r>
        <w:rPr/>
        <w:t xml:space="preserve"> </w:t>
      </w:r>
      <w:r>
        <w:rPr>
          <w:i/>
          <w:sz w:val="28"/>
        </w:rPr>
        <w:t>аналізу</w:t>
      </w:r>
      <w:r>
        <w:rPr/>
        <w:t xml:space="preserve"> </w:t>
      </w:r>
      <w:r>
        <w:rPr>
          <w:i/>
          <w:sz w:val="27"/>
        </w:rPr>
        <w:t>регуляторного</w:t>
      </w:r>
      <w:r>
        <w:rPr>
          <w:i/>
          <w:sz w:val="28"/>
        </w:rPr>
        <w:t xml:space="preserve"> впливу</w:t>
      </w:r>
    </w:p>
    <w:p>
      <w:pPr>
        <w:pStyle w:val="Normal"/>
        <w:spacing w:lineRule="auto"/>
        <w:ind w:left="4248" w:hanging="0"/>
        <w:rPr>
          <w:i/>
          <w:i/>
          <w:sz w:val="28"/>
        </w:rPr>
      </w:pPr>
      <w:r>
        <w:rPr>
          <w:i/>
          <w:sz w:val="28"/>
        </w:rPr>
        <w:t>до</w:t>
      </w:r>
      <w:r>
        <w:rPr/>
        <w:t xml:space="preserve"> </w:t>
      </w:r>
      <w:r>
        <w:rPr>
          <w:i/>
          <w:sz w:val="27"/>
        </w:rPr>
        <w:t>проекту</w:t>
      </w:r>
      <w:r>
        <w:rPr>
          <w:i/>
          <w:sz w:val="28"/>
        </w:rPr>
        <w:t xml:space="preserve"> регуляторного акта «Про </w:t>
      </w:r>
    </w:p>
    <w:p>
      <w:pPr>
        <w:pStyle w:val="Normal"/>
        <w:spacing w:lineRule="auto"/>
        <w:ind w:left="4248" w:hanging="0"/>
        <w:rPr>
          <w:i/>
          <w:i/>
          <w:sz w:val="28"/>
        </w:rPr>
      </w:pPr>
      <w:r>
        <w:rPr>
          <w:i/>
          <w:sz w:val="28"/>
        </w:rPr>
        <w:t xml:space="preserve">затвердження тарифу на перевезення </w:t>
      </w:r>
    </w:p>
    <w:p>
      <w:pPr>
        <w:pStyle w:val="Normal"/>
        <w:spacing w:lineRule="auto"/>
        <w:ind w:left="4248" w:hanging="0"/>
        <w:rPr>
          <w:i/>
          <w:i/>
          <w:sz w:val="28"/>
        </w:rPr>
      </w:pPr>
      <w:r>
        <w:rPr>
          <w:i/>
          <w:sz w:val="28"/>
        </w:rPr>
        <w:t xml:space="preserve">пасажирів автобусними маршрутами </w:t>
      </w:r>
    </w:p>
    <w:p>
      <w:pPr>
        <w:pStyle w:val="Normal"/>
        <w:spacing w:lineRule="auto"/>
        <w:ind w:left="4248" w:hanging="0"/>
        <w:rPr>
          <w:i/>
          <w:i/>
          <w:sz w:val="28"/>
        </w:rPr>
      </w:pPr>
      <w:r>
        <w:rPr>
          <w:i/>
          <w:sz w:val="28"/>
        </w:rPr>
        <w:t xml:space="preserve">загального користування в </w:t>
      </w:r>
      <w:bookmarkStart w:id="8" w:name="_GoBack"/>
      <w:bookmarkEnd w:id="8"/>
      <w:r>
        <w:rPr>
          <w:i/>
          <w:sz w:val="28"/>
        </w:rPr>
        <w:t>м. Мукачево»</w:t>
      </w:r>
    </w:p>
    <w:p>
      <w:pPr>
        <w:pStyle w:val="Normal"/>
        <w:spacing w:lineRule="auto" w:line="237"/>
        <w:ind w:left="5920" w:hanging="0"/>
        <w:rPr>
          <w:i/>
          <w:i/>
          <w:sz w:val="28"/>
        </w:rPr>
      </w:pPr>
      <w:r>
        <w:rPr>
          <w:i/>
          <w:sz w:val="28"/>
        </w:rPr>
      </w:r>
    </w:p>
    <w:p>
      <w:pPr>
        <w:pStyle w:val="Normal"/>
        <w:spacing w:lineRule="auto"/>
        <w:ind w:right="-199" w:hanging="0"/>
        <w:jc w:val="center"/>
        <w:rPr>
          <w:b/>
          <w:b/>
          <w:i/>
          <w:i/>
          <w:sz w:val="28"/>
        </w:rPr>
      </w:pPr>
      <w:r>
        <w:rPr>
          <w:b/>
          <w:i/>
          <w:sz w:val="28"/>
        </w:rPr>
        <w:t>ТЕСТ малого підприємництва (М-Тест)</w:t>
      </w:r>
    </w:p>
    <w:p>
      <w:pPr>
        <w:pStyle w:val="Normal"/>
        <w:spacing w:lineRule="exact" w:line="337"/>
        <w:rPr/>
      </w:pPr>
      <w:r>
        <w:rPr/>
      </w:r>
    </w:p>
    <w:p>
      <w:pPr>
        <w:pStyle w:val="Normal"/>
        <w:numPr>
          <w:ilvl w:val="0"/>
          <w:numId w:val="5"/>
        </w:numPr>
        <w:tabs>
          <w:tab w:val="left" w:pos="1927" w:leader="none"/>
        </w:tabs>
        <w:suppressAutoHyphens w:val="false"/>
        <w:spacing w:lineRule="auto" w:line="232"/>
        <w:ind w:left="1860" w:right="1460" w:hanging="217"/>
        <w:rPr>
          <w:b/>
          <w:b/>
          <w:i/>
          <w:i/>
          <w:sz w:val="28"/>
        </w:rPr>
      </w:pPr>
      <w:r>
        <w:rPr>
          <w:b/>
          <w:i/>
          <w:sz w:val="28"/>
        </w:rPr>
        <w:t>Консультації з представниками мікро- та малого підприємництва щодо оцінки впливу регулювання</w:t>
      </w:r>
    </w:p>
    <w:p>
      <w:pPr>
        <w:pStyle w:val="Normal"/>
        <w:spacing w:lineRule="exact" w:line="203"/>
        <w:rPr/>
      </w:pPr>
      <w:r>
        <w:rPr/>
      </w:r>
    </w:p>
    <w:p>
      <w:pPr>
        <w:pStyle w:val="Normal"/>
        <w:spacing w:lineRule="auto" w:line="237"/>
        <w:ind w:right="60" w:firstLine="567"/>
        <w:jc w:val="both"/>
        <w:rPr>
          <w:sz w:val="28"/>
        </w:rPr>
      </w:pPr>
      <w:r>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міжвідомчою комісією з питань реалізації державної цінової політики у житлово-комунальному господарстві та на міському пасажирському транспорті з окремими суб’єктами малого бізнесу, що проходили в листопаді 2019року, відображені в таблиці:</w:t>
      </w:r>
    </w:p>
    <w:p>
      <w:pPr>
        <w:pStyle w:val="Normal"/>
        <w:rPr/>
      </w:pPr>
      <w:r>
        <w:rPr/>
      </w:r>
    </w:p>
    <w:tbl>
      <w:tblPr>
        <w:tblStyle w:val="afb"/>
        <w:tblW w:w="9628" w:type="dxa"/>
        <w:jc w:val="left"/>
        <w:tblInd w:w="0" w:type="dxa"/>
        <w:tblCellMar>
          <w:top w:w="0" w:type="dxa"/>
          <w:left w:w="108" w:type="dxa"/>
          <w:bottom w:w="0" w:type="dxa"/>
          <w:right w:w="108" w:type="dxa"/>
        </w:tblCellMar>
        <w:tblLook w:firstRow="1" w:noVBand="1" w:lastRow="0" w:firstColumn="1" w:lastColumn="0" w:noHBand="0" w:val="04a0"/>
      </w:tblPr>
      <w:tblGrid>
        <w:gridCol w:w="703"/>
        <w:gridCol w:w="2836"/>
        <w:gridCol w:w="1984"/>
        <w:gridCol w:w="4104"/>
      </w:tblGrid>
      <w:tr>
        <w:trPr/>
        <w:tc>
          <w:tcPr>
            <w:tcW w:w="703" w:type="dxa"/>
            <w:tcBorders/>
            <w:shd w:fill="auto" w:val="clear"/>
            <w:tcMar>
              <w:left w:w="108" w:type="dxa"/>
            </w:tcMar>
            <w:vAlign w:val="center"/>
          </w:tcPr>
          <w:p>
            <w:pPr>
              <w:pStyle w:val="Normal"/>
              <w:jc w:val="center"/>
              <w:rPr>
                <w:b/>
                <w:b/>
                <w:bCs/>
              </w:rPr>
            </w:pPr>
            <w:bookmarkStart w:id="9" w:name="page19"/>
            <w:bookmarkEnd w:id="9"/>
            <w:r>
              <w:rPr>
                <w:b/>
                <w:bCs/>
              </w:rPr>
              <w:t>№</w:t>
            </w:r>
          </w:p>
        </w:tc>
        <w:tc>
          <w:tcPr>
            <w:tcW w:w="2836" w:type="dxa"/>
            <w:tcBorders/>
            <w:shd w:fill="auto" w:val="clear"/>
            <w:tcMar>
              <w:left w:w="108" w:type="dxa"/>
            </w:tcMar>
            <w:vAlign w:val="center"/>
          </w:tcPr>
          <w:p>
            <w:pPr>
              <w:pStyle w:val="Normal"/>
              <w:jc w:val="center"/>
              <w:rPr>
                <w:b/>
                <w:b/>
                <w:bCs/>
              </w:rPr>
            </w:pPr>
            <w:r>
              <w:rPr>
                <w:b/>
                <w:bCs/>
              </w:rPr>
              <w:t>Вид консультації</w:t>
            </w:r>
          </w:p>
        </w:tc>
        <w:tc>
          <w:tcPr>
            <w:tcW w:w="1984" w:type="dxa"/>
            <w:tcBorders/>
            <w:shd w:fill="auto" w:val="clear"/>
            <w:tcMar>
              <w:left w:w="108" w:type="dxa"/>
            </w:tcMar>
            <w:vAlign w:val="center"/>
          </w:tcPr>
          <w:p>
            <w:pPr>
              <w:pStyle w:val="Normal"/>
              <w:jc w:val="center"/>
              <w:rPr>
                <w:b/>
                <w:b/>
                <w:bCs/>
              </w:rPr>
            </w:pPr>
            <w:r>
              <w:rPr>
                <w:b/>
                <w:bCs/>
              </w:rPr>
              <w:t>Кількість учасників</w:t>
            </w:r>
          </w:p>
        </w:tc>
        <w:tc>
          <w:tcPr>
            <w:tcW w:w="4104" w:type="dxa"/>
            <w:tcBorders/>
            <w:shd w:fill="auto" w:val="clear"/>
            <w:tcMar>
              <w:left w:w="108" w:type="dxa"/>
            </w:tcMar>
            <w:vAlign w:val="center"/>
          </w:tcPr>
          <w:p>
            <w:pPr>
              <w:pStyle w:val="Normal"/>
              <w:jc w:val="center"/>
              <w:rPr>
                <w:b/>
                <w:b/>
                <w:bCs/>
              </w:rPr>
            </w:pPr>
            <w:r>
              <w:rPr>
                <w:b/>
                <w:bCs/>
              </w:rPr>
              <w:t>Основні результати</w:t>
            </w:r>
          </w:p>
          <w:p>
            <w:pPr>
              <w:pStyle w:val="Normal"/>
              <w:jc w:val="center"/>
              <w:rPr>
                <w:b/>
                <w:b/>
                <w:bCs/>
              </w:rPr>
            </w:pPr>
            <w:r>
              <w:rPr>
                <w:b/>
                <w:bCs/>
              </w:rPr>
              <w:t>консультацій (опис)</w:t>
            </w:r>
          </w:p>
        </w:tc>
      </w:tr>
      <w:tr>
        <w:trPr/>
        <w:tc>
          <w:tcPr>
            <w:tcW w:w="703" w:type="dxa"/>
            <w:tcBorders/>
            <w:shd w:fill="auto" w:val="clear"/>
            <w:tcMar>
              <w:left w:w="108" w:type="dxa"/>
            </w:tcMar>
          </w:tcPr>
          <w:p>
            <w:pPr>
              <w:pStyle w:val="Normal"/>
              <w:tabs>
                <w:tab w:val="left" w:pos="1344" w:leader="none"/>
              </w:tabs>
              <w:suppressAutoHyphens w:val="false"/>
              <w:spacing w:lineRule="auto" w:line="232"/>
              <w:jc w:val="center"/>
              <w:rPr>
                <w:bCs/>
                <w:iCs/>
              </w:rPr>
            </w:pPr>
            <w:r>
              <w:rPr>
                <w:bCs/>
                <w:iCs/>
              </w:rPr>
              <w:t>1.</w:t>
            </w:r>
          </w:p>
        </w:tc>
        <w:tc>
          <w:tcPr>
            <w:tcW w:w="2836" w:type="dxa"/>
            <w:tcBorders/>
            <w:shd w:fill="auto" w:val="clear"/>
            <w:tcMar>
              <w:left w:w="108" w:type="dxa"/>
            </w:tcMar>
          </w:tcPr>
          <w:p>
            <w:pPr>
              <w:pStyle w:val="Normal"/>
              <w:rPr/>
            </w:pPr>
            <w:r>
              <w:rPr/>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tcBorders/>
            <w:shd w:fill="auto" w:val="clear"/>
            <w:tcMar>
              <w:left w:w="108" w:type="dxa"/>
            </w:tcMar>
          </w:tcPr>
          <w:p>
            <w:pPr>
              <w:pStyle w:val="Normal"/>
              <w:tabs>
                <w:tab w:val="left" w:pos="1344" w:leader="none"/>
              </w:tabs>
              <w:suppressAutoHyphens w:val="false"/>
              <w:rPr>
                <w:bCs/>
                <w:iCs/>
              </w:rPr>
            </w:pPr>
            <w:r>
              <w:rPr>
                <w:bCs/>
                <w:iCs/>
              </w:rPr>
              <w:t>10</w:t>
            </w:r>
          </w:p>
        </w:tc>
        <w:tc>
          <w:tcPr>
            <w:tcW w:w="4104" w:type="dxa"/>
            <w:tcBorders/>
            <w:shd w:fill="auto" w:val="clear"/>
            <w:tcMar>
              <w:left w:w="108" w:type="dxa"/>
            </w:tcMar>
          </w:tcPr>
          <w:p>
            <w:pPr>
              <w:pStyle w:val="Normal"/>
              <w:rPr/>
            </w:pPr>
            <w:r>
              <w:rPr/>
              <w:t xml:space="preserve">За </w:t>
            </w:r>
            <w:r>
              <w:rPr>
                <w:w w:val="97"/>
              </w:rPr>
              <w:t>результатами</w:t>
            </w:r>
            <w:r>
              <w:rPr/>
              <w:t xml:space="preserve"> попереднього обговорення Проекту рішення та проведених у процесі його підготовки </w:t>
            </w:r>
            <w:r>
              <w:rPr>
                <w:w w:val="94"/>
              </w:rPr>
              <w:t xml:space="preserve">консультацій, </w:t>
            </w:r>
            <w:r>
              <w:rPr/>
              <w:t xml:space="preserve">міська комісія з питань реалізації цінової політики у житлово-комунальному господарстві та на міському пасажирському транспорті </w:t>
            </w:r>
            <w:r>
              <w:rPr>
                <w:w w:val="99"/>
              </w:rPr>
              <w:t>запропонувала винести</w:t>
            </w:r>
            <w:r>
              <w:rPr/>
              <w:t xml:space="preserve"> на обговорення необхідність затвердження  тарифів на </w:t>
            </w:r>
            <w:r>
              <w:rPr>
                <w:w w:val="96"/>
              </w:rPr>
              <w:t>послугу</w:t>
            </w:r>
            <w:r>
              <w:rPr/>
              <w:t xml:space="preserve"> з перевезення пасажирів </w:t>
            </w:r>
            <w:r>
              <w:rPr>
                <w:w w:val="99"/>
              </w:rPr>
              <w:t>автобусними</w:t>
            </w:r>
            <w:r>
              <w:rPr/>
              <w:t xml:space="preserve"> маршрутами загального користування</w:t>
            </w:r>
          </w:p>
          <w:p>
            <w:pPr>
              <w:pStyle w:val="Normal"/>
              <w:rPr/>
            </w:pPr>
            <w:r>
              <w:rPr/>
            </w:r>
          </w:p>
        </w:tc>
      </w:tr>
      <w:tr>
        <w:trPr/>
        <w:tc>
          <w:tcPr>
            <w:tcW w:w="703" w:type="dxa"/>
            <w:tcBorders/>
            <w:shd w:fill="auto" w:val="clear"/>
            <w:tcMar>
              <w:left w:w="108" w:type="dxa"/>
            </w:tcMar>
          </w:tcPr>
          <w:p>
            <w:pPr>
              <w:pStyle w:val="Normal"/>
              <w:tabs>
                <w:tab w:val="left" w:pos="1344" w:leader="none"/>
              </w:tabs>
              <w:suppressAutoHyphens w:val="false"/>
              <w:spacing w:lineRule="auto" w:line="232"/>
              <w:jc w:val="center"/>
              <w:rPr>
                <w:bCs/>
                <w:iCs/>
              </w:rPr>
            </w:pPr>
            <w:r>
              <w:rPr>
                <w:bCs/>
                <w:iCs/>
              </w:rPr>
              <w:t>2.</w:t>
            </w:r>
          </w:p>
        </w:tc>
        <w:tc>
          <w:tcPr>
            <w:tcW w:w="2836" w:type="dxa"/>
            <w:tcBorders/>
            <w:shd w:fill="auto" w:val="clear"/>
            <w:tcMar>
              <w:left w:w="108" w:type="dxa"/>
            </w:tcMar>
          </w:tcPr>
          <w:p>
            <w:pPr>
              <w:pStyle w:val="Normal"/>
              <w:tabs>
                <w:tab w:val="left" w:pos="1344" w:leader="none"/>
              </w:tabs>
              <w:suppressAutoHyphens w:val="false"/>
              <w:rPr>
                <w:bCs/>
                <w:iCs/>
              </w:rPr>
            </w:pPr>
            <w:r>
              <w:rPr/>
              <w:t>Нарада за участі перевізників та громадських організацій міста, комунальних підприємств</w:t>
            </w:r>
          </w:p>
        </w:tc>
        <w:tc>
          <w:tcPr>
            <w:tcW w:w="1984" w:type="dxa"/>
            <w:tcBorders/>
            <w:shd w:fill="auto" w:val="clear"/>
            <w:tcMar>
              <w:left w:w="108" w:type="dxa"/>
            </w:tcMar>
          </w:tcPr>
          <w:p>
            <w:pPr>
              <w:pStyle w:val="Normal"/>
              <w:tabs>
                <w:tab w:val="left" w:pos="1344" w:leader="none"/>
              </w:tabs>
              <w:suppressAutoHyphens w:val="false"/>
              <w:rPr>
                <w:bCs/>
                <w:iCs/>
              </w:rPr>
            </w:pPr>
            <w:r>
              <w:rPr>
                <w:bCs/>
                <w:iCs/>
              </w:rPr>
              <w:t>10</w:t>
            </w:r>
          </w:p>
        </w:tc>
        <w:tc>
          <w:tcPr>
            <w:tcW w:w="4104" w:type="dxa"/>
            <w:tcBorders/>
            <w:shd w:fill="auto" w:val="clear"/>
            <w:tcMar>
              <w:left w:w="108" w:type="dxa"/>
            </w:tcMar>
          </w:tcPr>
          <w:p>
            <w:pPr>
              <w:pStyle w:val="Normal"/>
              <w:tabs>
                <w:tab w:val="left" w:pos="1344" w:leader="none"/>
              </w:tabs>
              <w:suppressAutoHyphens w:val="false"/>
              <w:rPr/>
            </w:pPr>
            <w:r>
              <w:rPr/>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pPr>
              <w:pStyle w:val="Normal"/>
              <w:tabs>
                <w:tab w:val="left" w:pos="1344" w:leader="none"/>
              </w:tabs>
              <w:suppressAutoHyphens w:val="false"/>
              <w:rPr>
                <w:bCs/>
                <w:iCs/>
              </w:rPr>
            </w:pPr>
            <w:r>
              <w:rPr>
                <w:bCs/>
                <w:iCs/>
              </w:rPr>
            </w:r>
          </w:p>
        </w:tc>
      </w:tr>
      <w:tr>
        <w:trPr/>
        <w:tc>
          <w:tcPr>
            <w:tcW w:w="703" w:type="dxa"/>
            <w:tcBorders/>
            <w:shd w:fill="auto" w:val="clear"/>
            <w:tcMar>
              <w:left w:w="108" w:type="dxa"/>
            </w:tcMar>
          </w:tcPr>
          <w:p>
            <w:pPr>
              <w:pStyle w:val="Normal"/>
              <w:tabs>
                <w:tab w:val="left" w:pos="1344" w:leader="none"/>
              </w:tabs>
              <w:suppressAutoHyphens w:val="false"/>
              <w:spacing w:lineRule="auto" w:line="232"/>
              <w:jc w:val="center"/>
              <w:rPr>
                <w:bCs/>
                <w:iCs/>
              </w:rPr>
            </w:pPr>
            <w:r>
              <w:rPr>
                <w:bCs/>
                <w:iCs/>
              </w:rPr>
              <w:t>3.</w:t>
            </w:r>
          </w:p>
        </w:tc>
        <w:tc>
          <w:tcPr>
            <w:tcW w:w="2836" w:type="dxa"/>
            <w:tcBorders/>
            <w:shd w:fill="auto" w:val="clear"/>
            <w:tcMar>
              <w:left w:w="108" w:type="dxa"/>
            </w:tcMar>
          </w:tcPr>
          <w:p>
            <w:pPr>
              <w:pStyle w:val="Normal"/>
              <w:tabs>
                <w:tab w:val="left" w:pos="1344" w:leader="none"/>
              </w:tabs>
              <w:suppressAutoHyphens w:val="false"/>
              <w:rPr>
                <w:bCs/>
                <w:iCs/>
              </w:rPr>
            </w:pPr>
            <w:r>
              <w:rPr/>
              <w:t>Особисті консультації</w:t>
            </w:r>
          </w:p>
        </w:tc>
        <w:tc>
          <w:tcPr>
            <w:tcW w:w="1984" w:type="dxa"/>
            <w:tcBorders/>
            <w:shd w:fill="auto" w:val="clear"/>
            <w:tcMar>
              <w:left w:w="108" w:type="dxa"/>
            </w:tcMar>
          </w:tcPr>
          <w:p>
            <w:pPr>
              <w:pStyle w:val="Normal"/>
              <w:tabs>
                <w:tab w:val="left" w:pos="1344" w:leader="none"/>
              </w:tabs>
              <w:suppressAutoHyphens w:val="false"/>
              <w:rPr>
                <w:bCs/>
                <w:iCs/>
              </w:rPr>
            </w:pPr>
            <w:r>
              <w:rPr>
                <w:bCs/>
                <w:iCs/>
              </w:rPr>
              <w:t>5</w:t>
            </w:r>
          </w:p>
        </w:tc>
        <w:tc>
          <w:tcPr>
            <w:tcW w:w="4104" w:type="dxa"/>
            <w:tcBorders/>
            <w:shd w:fill="auto" w:val="clear"/>
            <w:tcMar>
              <w:left w:w="108" w:type="dxa"/>
            </w:tcMar>
          </w:tcPr>
          <w:p>
            <w:pPr>
              <w:pStyle w:val="Normal"/>
              <w:tabs>
                <w:tab w:val="left" w:pos="1344" w:leader="none"/>
              </w:tabs>
              <w:suppressAutoHyphens w:val="false"/>
              <w:rPr/>
            </w:pPr>
            <w:r>
              <w:rPr/>
              <w:t>Обговорено механізм впровадження даного регуляторного акта, наслідки його дії</w:t>
            </w:r>
          </w:p>
          <w:p>
            <w:pPr>
              <w:pStyle w:val="Normal"/>
              <w:tabs>
                <w:tab w:val="left" w:pos="1344" w:leader="none"/>
              </w:tabs>
              <w:suppressAutoHyphens w:val="false"/>
              <w:rPr>
                <w:bCs/>
                <w:iCs/>
              </w:rPr>
            </w:pPr>
            <w:r>
              <w:rPr>
                <w:bCs/>
                <w:iCs/>
              </w:rPr>
            </w:r>
          </w:p>
        </w:tc>
      </w:tr>
    </w:tbl>
    <w:p>
      <w:pPr>
        <w:pStyle w:val="Normal"/>
        <w:tabs>
          <w:tab w:val="left" w:pos="1344" w:leader="none"/>
        </w:tabs>
        <w:suppressAutoHyphens w:val="false"/>
        <w:spacing w:lineRule="auto" w:line="232"/>
        <w:rPr>
          <w:b/>
          <w:b/>
          <w:i/>
          <w:i/>
          <w:sz w:val="28"/>
        </w:rPr>
      </w:pPr>
      <w:r>
        <w:rPr>
          <w:b/>
          <w:i/>
          <w:sz w:val="28"/>
        </w:rPr>
      </w:r>
    </w:p>
    <w:p>
      <w:pPr>
        <w:pStyle w:val="Normal"/>
        <w:tabs>
          <w:tab w:val="left" w:pos="1344" w:leader="none"/>
        </w:tabs>
        <w:suppressAutoHyphens w:val="false"/>
        <w:spacing w:lineRule="auto" w:line="232"/>
        <w:jc w:val="center"/>
        <w:rPr>
          <w:b/>
          <w:b/>
          <w:i/>
          <w:i/>
          <w:sz w:val="28"/>
        </w:rPr>
      </w:pPr>
      <w:r>
        <w:rPr>
          <w:b/>
          <w:i/>
          <w:sz w:val="28"/>
        </w:rPr>
        <w:t>2. Вимірювання впливу регулювання на суб’єктів малого підприємництва (мікро- та малі):</w:t>
      </w:r>
    </w:p>
    <w:p>
      <w:pPr>
        <w:pStyle w:val="Normal"/>
        <w:spacing w:lineRule="exact" w:line="203"/>
        <w:rPr/>
      </w:pPr>
      <w:r>
        <w:rPr/>
      </w:r>
    </w:p>
    <w:p>
      <w:pPr>
        <w:pStyle w:val="Rvps2"/>
        <w:shd w:val="clear" w:color="auto" w:fill="FFFFFF"/>
        <w:spacing w:before="0" w:after="0"/>
        <w:ind w:firstLine="709"/>
        <w:jc w:val="both"/>
        <w:textAlignment w:val="baseline"/>
        <w:rPr/>
      </w:pPr>
      <w:bookmarkStart w:id="10" w:name="n204"/>
      <w:bookmarkEnd w:id="10"/>
      <w:r>
        <w:rPr>
          <w:color w:val="000000"/>
          <w:sz w:val="28"/>
          <w:szCs w:val="28"/>
        </w:rPr>
        <w:t>кількість суб’єктів малого підприємництва, на яких поширюється регулювання: 11 одиниць, у тому числі малого підприємництва 0 (одиниць) та мікро-підприємництва 11 (одиниць);</w:t>
      </w:r>
    </w:p>
    <w:p>
      <w:pPr>
        <w:pStyle w:val="Rvps2"/>
        <w:shd w:val="clear" w:color="auto" w:fill="FFFFFF"/>
        <w:spacing w:before="0" w:after="0"/>
        <w:ind w:firstLine="709"/>
        <w:jc w:val="both"/>
        <w:textAlignment w:val="baseline"/>
        <w:rPr/>
      </w:pPr>
      <w:bookmarkStart w:id="11" w:name="n205"/>
      <w:bookmarkEnd w:id="11"/>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pPr>
        <w:pStyle w:val="Normal"/>
        <w:spacing w:lineRule="exact" w:line="339"/>
        <w:rPr/>
      </w:pPr>
      <w:r>
        <w:rPr/>
      </w:r>
    </w:p>
    <w:p>
      <w:pPr>
        <w:pStyle w:val="Normal"/>
        <w:numPr>
          <w:ilvl w:val="0"/>
          <w:numId w:val="4"/>
        </w:numPr>
        <w:tabs>
          <w:tab w:val="left" w:pos="1335" w:leader="none"/>
        </w:tabs>
        <w:suppressAutoHyphens w:val="false"/>
        <w:spacing w:lineRule="auto" w:line="232"/>
        <w:ind w:left="260" w:right="20" w:firstLine="567"/>
        <w:jc w:val="center"/>
        <w:rPr>
          <w:b/>
          <w:b/>
          <w:sz w:val="28"/>
        </w:rPr>
      </w:pPr>
      <w:r>
        <w:rPr>
          <w:b/>
          <w:i/>
          <w:sz w:val="28"/>
        </w:rPr>
        <w:t>Розрахунок витрат суб’єктів малого підприємництва на виконання вимог регулювання</w:t>
      </w:r>
    </w:p>
    <w:p>
      <w:pPr>
        <w:pStyle w:val="Normal"/>
        <w:tabs>
          <w:tab w:val="left" w:pos="1335" w:leader="none"/>
        </w:tabs>
        <w:suppressAutoHyphens w:val="false"/>
        <w:spacing w:lineRule="auto" w:line="232"/>
        <w:ind w:left="827" w:right="20" w:hanging="0"/>
        <w:rPr>
          <w:b/>
          <w:b/>
          <w:sz w:val="28"/>
        </w:rPr>
      </w:pPr>
      <w:r>
        <w:rPr>
          <w:b/>
          <w:sz w:val="28"/>
        </w:rPr>
      </w:r>
    </w:p>
    <w:p>
      <w:pPr>
        <w:pStyle w:val="Normal"/>
        <w:spacing w:lineRule="exact" w:line="20"/>
        <w:jc w:val="center"/>
        <w:rPr>
          <w:b/>
          <w:b/>
          <w:sz w:val="28"/>
        </w:rPr>
      </w:pPr>
      <w:r>
        <w:rPr>
          <w:b/>
          <w:sz w:val="28"/>
        </w:rPr>
      </w:r>
    </w:p>
    <w:tbl>
      <w:tblPr>
        <w:tblW w:w="9703"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997"/>
        <w:gridCol w:w="3970"/>
        <w:gridCol w:w="1851"/>
        <w:gridCol w:w="264"/>
        <w:gridCol w:w="1144"/>
        <w:gridCol w:w="1477"/>
      </w:tblGrid>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 xml:space="preserve">№ </w:t>
            </w:r>
            <w:r>
              <w:rPr>
                <w:sz w:val="28"/>
                <w:szCs w:val="28"/>
              </w:rPr>
              <w:t>з/п</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Найменування оцінки</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Періодичні (за наступний рік)</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jc w:val="center"/>
              <w:textAlignment w:val="baseline"/>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jc w:val="center"/>
              <w:textAlignment w:val="baseline"/>
              <w:rPr/>
            </w:pPr>
            <w:r>
              <w:rPr>
                <w:sz w:val="28"/>
                <w:szCs w:val="28"/>
              </w:rPr>
              <w:t>Оцінка “прямих” витрат суб’єктів малого підприємництва на виконання регулювання</w:t>
            </w:r>
          </w:p>
        </w:tc>
      </w:tr>
      <w:tr>
        <w:trPr>
          <w:trHeight w:val="627"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Придбання необхідного обладнання (пристроїв, машин, механізмів)</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2.</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3.</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Процедури експлуатації обладнання (експлуатаційні витрати - витратні матеріали)</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4.</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Процедури обслуговування обладнання (технічне обслуговування)</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698"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5.</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textAlignment w:val="baseline"/>
              <w:rPr>
                <w:sz w:val="28"/>
                <w:szCs w:val="28"/>
              </w:rPr>
            </w:pPr>
            <w:r>
              <w:rPr>
                <w:sz w:val="28"/>
                <w:szCs w:val="28"/>
              </w:rPr>
              <w:t>Інші процедури:</w:t>
            </w:r>
          </w:p>
          <w:p>
            <w:pPr>
              <w:pStyle w:val="Rvps14"/>
              <w:spacing w:before="0" w:after="0"/>
              <w:textAlignment w:val="baseline"/>
              <w:rPr/>
            </w:pPr>
            <w:r>
              <w:rPr>
                <w:sz w:val="28"/>
                <w:szCs w:val="28"/>
              </w:rPr>
              <w:t>Витрати на розміщення інформації про зміну тарифу в автобусах (20грн.)</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textAlignment w:val="baseline"/>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6.</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Разом,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(сума рядків 1 + 2 + 3 + 4 + 5)</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textAlignment w:val="baseline"/>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7.</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Кількість суб’єктів господарювання, що повинні виконати вимоги регулювання, одиниць</w:t>
            </w:r>
          </w:p>
        </w:tc>
        <w:tc>
          <w:tcPr>
            <w:tcW w:w="473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11 (загальна кількість автобусів 40)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8.</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Сумарно,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800 грн.</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4000 грн.</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2"/>
              <w:spacing w:before="0" w:after="0"/>
              <w:ind w:firstLine="502"/>
              <w:jc w:val="both"/>
              <w:textAlignment w:val="baseline"/>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9.</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28"/>
              <w:ind w:left="34" w:right="56" w:hanging="34"/>
              <w:rPr/>
            </w:pPr>
            <w:r>
              <w:rPr>
                <w:sz w:val="28"/>
                <w:szCs w:val="28"/>
              </w:rPr>
              <w:t>Процедури отримання первинної інформації про вимоги регулювання</w:t>
            </w:r>
            <w:r>
              <w:rPr>
                <w:i/>
                <w:iCs/>
                <w:lang w:eastAsia="en-US"/>
              </w:rPr>
              <w:t xml:space="preserve"> </w:t>
            </w:r>
          </w:p>
          <w:p>
            <w:pPr>
              <w:pStyle w:val="Normal"/>
              <w:spacing w:lineRule="auto" w:line="228"/>
              <w:ind w:left="34" w:right="56" w:hanging="34"/>
              <w:rPr/>
            </w:pPr>
            <w:r>
              <w:rPr>
                <w:i/>
                <w:iCs/>
                <w:lang w:eastAsia="en-US"/>
              </w:rPr>
              <w:t xml:space="preserve">Формула: </w:t>
            </w:r>
          </w:p>
          <w:p>
            <w:pPr>
              <w:pStyle w:val="Rvps14"/>
              <w:spacing w:before="0" w:after="0"/>
              <w:ind w:left="141" w:right="144" w:hanging="0"/>
              <w:textAlignment w:val="baseline"/>
              <w:rPr>
                <w:i/>
                <w:i/>
                <w:iCs/>
                <w:color w:val="000000"/>
                <w:highlight w:val="white"/>
              </w:rPr>
            </w:pPr>
            <w:r>
              <w:rPr>
                <w:i/>
                <w:iCs/>
                <w:color w:val="000000"/>
                <w:shd w:fill="FFFFFF" w:val="clear"/>
              </w:rPr>
              <w:t xml:space="preserve">витрати часу на отримання інформації про регулювання, отримання необхідних форм та заявок (1 год) Х вартість часу суб’єкта малого підприємництва (61,5 грн./год.*) </w:t>
            </w:r>
          </w:p>
          <w:p>
            <w:pPr>
              <w:pStyle w:val="Rvps14"/>
              <w:spacing w:before="0" w:after="0"/>
              <w:ind w:left="141" w:right="144" w:hanging="0"/>
              <w:textAlignment w:val="baseline"/>
              <w:rPr>
                <w:i/>
                <w:i/>
                <w:iCs/>
                <w:color w:val="000000"/>
                <w:highlight w:val="white"/>
              </w:rPr>
            </w:pPr>
            <w:r>
              <w:rPr>
                <w:i/>
                <w:iCs/>
                <w:color w:val="000000"/>
                <w:shd w:fill="FFFFFF" w:val="clear"/>
              </w:rPr>
              <w:t>(* середньомісячна заробітна плата штатних працівників по м. Мукачево за ІІІ квартал 2019р. – 10 327грн / середню тривалість робочого часу 168,0 год./міс.).</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10.</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 xml:space="preserve">Процедури організації виконання вимог регулювання </w:t>
            </w:r>
            <w:r>
              <w:rPr>
                <w:i/>
              </w:rPr>
              <w:t>Формул</w:t>
            </w:r>
            <w:r>
              <w:rP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11.</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Процедури офіційного звітування (витрати часу з підготовки та подання декларації)</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t xml:space="preserve"> </w:t>
            </w:r>
            <w:r>
              <w:rPr>
                <w:i/>
              </w:rPr>
              <w:t xml:space="preserve">витрати часу з підготовки та подання декларації </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 xml:space="preserve">0,0 </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12.</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Процедури щодо забезпечення процесу перевірок</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13.</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Інші процедури (уточнити)</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14.</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jc w:val="both"/>
              <w:textAlignment w:val="baseline"/>
              <w:rPr/>
            </w:pPr>
            <w:r>
              <w:rPr>
                <w:sz w:val="28"/>
                <w:szCs w:val="28"/>
              </w:rPr>
              <w:t>Разом, гривень.</w:t>
            </w:r>
          </w:p>
          <w:p>
            <w:pPr>
              <w:pStyle w:val="Rvps14"/>
              <w:spacing w:before="0" w:after="0"/>
              <w:ind w:left="141" w:right="144" w:hanging="0"/>
              <w:jc w:val="both"/>
              <w:textAlignment w:val="baseline"/>
              <w:rPr/>
            </w:pPr>
            <w:r>
              <w:rPr>
                <w:rStyle w:val="Rvts11"/>
                <w:iCs/>
                <w:color w:val="000000"/>
                <w:sz w:val="28"/>
                <w:szCs w:val="28"/>
              </w:rPr>
              <w:t>Формула:</w:t>
            </w:r>
          </w:p>
          <w:p>
            <w:pPr>
              <w:pStyle w:val="Rvps14"/>
              <w:spacing w:before="0" w:after="0"/>
              <w:ind w:left="141" w:right="144" w:hanging="0"/>
              <w:jc w:val="both"/>
              <w:textAlignment w:val="baseline"/>
              <w:rPr/>
            </w:pPr>
            <w:r>
              <w:rPr>
                <w:rStyle w:val="Rvts11"/>
                <w:iCs/>
                <w:color w:val="000000"/>
                <w:sz w:val="28"/>
                <w:szCs w:val="28"/>
              </w:rPr>
              <w:t>(сума рядків 9 + 10 + 11 + 12 + 13)</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123</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615</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15.</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jc w:val="both"/>
              <w:textAlignment w:val="baseline"/>
              <w:rPr/>
            </w:pPr>
            <w:r>
              <w:rPr>
                <w:sz w:val="28"/>
                <w:szCs w:val="28"/>
              </w:rPr>
              <w:t>Кількість суб’єктів малого підприємництва, що повинні виконати вимоги регулювання, одиниць</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11</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11</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11</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16.</w:t>
            </w:r>
          </w:p>
        </w:tc>
        <w:tc>
          <w:tcPr>
            <w:tcW w:w="397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jc w:val="both"/>
              <w:textAlignment w:val="baseline"/>
              <w:rPr/>
            </w:pPr>
            <w:r>
              <w:rPr>
                <w:sz w:val="28"/>
                <w:szCs w:val="28"/>
              </w:rPr>
              <w:t>Сумарно, гривень</w:t>
            </w:r>
          </w:p>
        </w:tc>
        <w:tc>
          <w:tcPr>
            <w:tcW w:w="2115"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1 353</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6 765</w:t>
            </w:r>
          </w:p>
        </w:tc>
      </w:tr>
    </w:tbl>
    <w:p>
      <w:pPr>
        <w:pStyle w:val="Normal"/>
        <w:spacing w:lineRule="exact" w:line="320"/>
        <w:rPr>
          <w:sz w:val="28"/>
        </w:rPr>
      </w:pPr>
      <w:r>
        <w:rPr>
          <w:sz w:val="28"/>
        </w:rPr>
      </w:r>
    </w:p>
    <w:p>
      <w:pPr>
        <w:pStyle w:val="Rvps3"/>
        <w:shd w:val="clear" w:color="auto" w:fill="FFFFFF"/>
        <w:spacing w:before="0" w:after="0"/>
        <w:ind w:left="502" w:right="502" w:hanging="0"/>
        <w:jc w:val="center"/>
        <w:textAlignment w:val="baseline"/>
        <w:rPr/>
      </w:pPr>
      <w:r>
        <w:rPr>
          <w:b/>
          <w:bCs/>
          <w:color w:val="000000"/>
          <w:sz w:val="28"/>
          <w:szCs w:val="28"/>
        </w:rPr>
        <w:t>Бюджетні витрати на адміністрування регулювання суб’єктів малого підприємництва</w:t>
      </w:r>
    </w:p>
    <w:p>
      <w:pPr>
        <w:pStyle w:val="Rvps3"/>
        <w:shd w:val="clear" w:color="auto" w:fill="FFFFFF"/>
        <w:spacing w:before="0" w:after="0"/>
        <w:ind w:left="502" w:right="502" w:hanging="0"/>
        <w:jc w:val="center"/>
        <w:textAlignment w:val="baseline"/>
        <w:rPr>
          <w:b/>
          <w:b/>
          <w:bCs/>
          <w:color w:val="000000"/>
          <w:sz w:val="28"/>
          <w:szCs w:val="28"/>
          <w:lang w:val="ru-RU"/>
        </w:rPr>
      </w:pPr>
      <w:r>
        <w:rPr>
          <w:b/>
          <w:bCs/>
          <w:color w:val="000000"/>
          <w:sz w:val="28"/>
          <w:szCs w:val="28"/>
          <w:lang w:val="ru-RU"/>
        </w:rPr>
      </w:r>
    </w:p>
    <w:p>
      <w:pPr>
        <w:pStyle w:val="Style17"/>
        <w:ind w:firstLine="567"/>
        <w:rPr>
          <w:sz w:val="28"/>
          <w:szCs w:val="28"/>
        </w:rPr>
      </w:pPr>
      <w:r>
        <w:rPr>
          <w:sz w:val="28"/>
          <w:szCs w:val="28"/>
        </w:rPr>
        <w:t>Бюджетні витрати на адміністрування регулювання суб’єктів малого підприємництва.</w:t>
      </w:r>
    </w:p>
    <w:p>
      <w:pPr>
        <w:pStyle w:val="Style17"/>
        <w:ind w:firstLine="567"/>
        <w:rPr>
          <w:sz w:val="28"/>
          <w:szCs w:val="28"/>
        </w:rPr>
      </w:pPr>
      <w:r>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Style17"/>
        <w:ind w:firstLine="567"/>
        <w:rPr>
          <w:sz w:val="28"/>
          <w:szCs w:val="28"/>
        </w:rPr>
      </w:pPr>
      <w:r>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pPr>
        <w:pStyle w:val="Rvps2"/>
        <w:shd w:val="clear" w:color="auto" w:fill="FFFFFF"/>
        <w:spacing w:before="120" w:after="0"/>
        <w:ind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tbl>
      <w:tblPr>
        <w:tblStyle w:val="afb"/>
        <w:tblW w:w="9628" w:type="dxa"/>
        <w:jc w:val="left"/>
        <w:tblInd w:w="0" w:type="dxa"/>
        <w:tblCellMar>
          <w:top w:w="0" w:type="dxa"/>
          <w:left w:w="108" w:type="dxa"/>
          <w:bottom w:w="0" w:type="dxa"/>
          <w:right w:w="108" w:type="dxa"/>
        </w:tblCellMar>
        <w:tblLook w:firstRow="1" w:noVBand="1" w:lastRow="0" w:firstColumn="1" w:lastColumn="0" w:noHBand="0" w:val="04a0"/>
      </w:tblPr>
      <w:tblGrid>
        <w:gridCol w:w="1967"/>
        <w:gridCol w:w="1121"/>
        <w:gridCol w:w="1408"/>
        <w:gridCol w:w="1598"/>
        <w:gridCol w:w="1917"/>
        <w:gridCol w:w="1616"/>
      </w:tblGrid>
      <w:tr>
        <w:trPr/>
        <w:tc>
          <w:tcPr>
            <w:tcW w:w="1967" w:type="dxa"/>
            <w:tcBorders/>
            <w:shd w:fill="auto" w:val="clear"/>
            <w:tcMar>
              <w:left w:w="108" w:type="dxa"/>
            </w:tcMar>
          </w:tcPr>
          <w:p>
            <w:pPr>
              <w:pStyle w:val="Rvps12"/>
              <w:spacing w:before="150" w:after="150"/>
              <w:jc w:val="center"/>
              <w:rPr>
                <w:color w:val="000000"/>
                <w:sz w:val="20"/>
                <w:szCs w:val="20"/>
              </w:rPr>
            </w:pPr>
            <w:r>
              <w:rPr>
                <w:color w:val="000000"/>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21" w:type="dxa"/>
            <w:tcBorders/>
            <w:shd w:fill="auto" w:val="clear"/>
            <w:tcMar>
              <w:left w:w="108" w:type="dxa"/>
            </w:tcMar>
          </w:tcPr>
          <w:p>
            <w:pPr>
              <w:pStyle w:val="Rvps12"/>
              <w:spacing w:before="150" w:after="150"/>
              <w:jc w:val="center"/>
              <w:rPr>
                <w:color w:val="000000"/>
                <w:sz w:val="20"/>
                <w:szCs w:val="20"/>
              </w:rPr>
            </w:pPr>
            <w:r>
              <w:rPr>
                <w:color w:val="000000"/>
                <w:sz w:val="20"/>
                <w:szCs w:val="20"/>
              </w:rPr>
              <w:t>Планові витрати часу на процедуру</w:t>
            </w:r>
          </w:p>
        </w:tc>
        <w:tc>
          <w:tcPr>
            <w:tcW w:w="1408" w:type="dxa"/>
            <w:tcBorders/>
            <w:shd w:fill="auto" w:val="clear"/>
            <w:tcMar>
              <w:left w:w="108" w:type="dxa"/>
            </w:tcMar>
          </w:tcPr>
          <w:p>
            <w:pPr>
              <w:pStyle w:val="Rvps12"/>
              <w:spacing w:before="150" w:after="150"/>
              <w:jc w:val="center"/>
              <w:rPr>
                <w:color w:val="000000"/>
                <w:sz w:val="20"/>
                <w:szCs w:val="20"/>
              </w:rPr>
            </w:pPr>
            <w:r>
              <w:rPr>
                <w:color w:val="000000"/>
                <w:sz w:val="20"/>
                <w:szCs w:val="20"/>
              </w:rPr>
              <w:t>Вартість часу співробітника органу державної влади відповідної категорії (заробітна плата)</w:t>
            </w:r>
          </w:p>
        </w:tc>
        <w:tc>
          <w:tcPr>
            <w:tcW w:w="1598" w:type="dxa"/>
            <w:tcBorders/>
            <w:shd w:fill="auto" w:val="clear"/>
            <w:tcMar>
              <w:left w:w="108" w:type="dxa"/>
            </w:tcMar>
          </w:tcPr>
          <w:p>
            <w:pPr>
              <w:pStyle w:val="Rvps12"/>
              <w:spacing w:before="150" w:after="150"/>
              <w:jc w:val="center"/>
              <w:rPr>
                <w:color w:val="000000"/>
                <w:sz w:val="20"/>
                <w:szCs w:val="20"/>
              </w:rPr>
            </w:pPr>
            <w:r>
              <w:rPr>
                <w:color w:val="000000"/>
                <w:sz w:val="20"/>
                <w:szCs w:val="20"/>
              </w:rPr>
              <w:t>Оцінка кількості процедур за рік, що припадають на одного суб’єкта</w:t>
            </w:r>
          </w:p>
        </w:tc>
        <w:tc>
          <w:tcPr>
            <w:tcW w:w="1917" w:type="dxa"/>
            <w:tcBorders/>
            <w:shd w:fill="auto" w:val="clear"/>
            <w:tcMar>
              <w:left w:w="108" w:type="dxa"/>
            </w:tcMar>
          </w:tcPr>
          <w:p>
            <w:pPr>
              <w:pStyle w:val="Rvps12"/>
              <w:spacing w:before="150" w:after="150"/>
              <w:jc w:val="center"/>
              <w:rPr>
                <w:color w:val="000000"/>
                <w:sz w:val="20"/>
                <w:szCs w:val="20"/>
              </w:rPr>
            </w:pPr>
            <w:r>
              <w:rPr>
                <w:color w:val="000000"/>
                <w:sz w:val="20"/>
                <w:szCs w:val="20"/>
              </w:rPr>
              <w:t>Оцінка кількості  суб’єктів, що підпадають під дію процедури регулювання</w:t>
            </w:r>
          </w:p>
        </w:tc>
        <w:tc>
          <w:tcPr>
            <w:tcW w:w="1616" w:type="dxa"/>
            <w:tcBorders/>
            <w:shd w:fill="auto" w:val="clear"/>
            <w:tcMar>
              <w:left w:w="108" w:type="dxa"/>
            </w:tcMar>
          </w:tcPr>
          <w:p>
            <w:pPr>
              <w:pStyle w:val="Rvps12"/>
              <w:spacing w:before="150" w:after="150"/>
              <w:jc w:val="center"/>
              <w:rPr>
                <w:color w:val="000000"/>
                <w:sz w:val="20"/>
                <w:szCs w:val="20"/>
              </w:rPr>
            </w:pPr>
            <w:r>
              <w:rPr>
                <w:color w:val="000000"/>
                <w:sz w:val="20"/>
                <w:szCs w:val="20"/>
              </w:rPr>
              <w:t>Витрати на адміністрування регулювання* (за рік), гри</w:t>
            </w:r>
          </w:p>
        </w:tc>
      </w:tr>
      <w:tr>
        <w:trPr/>
        <w:tc>
          <w:tcPr>
            <w:tcW w:w="1967" w:type="dx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 Облік суб’єкта господарювання, що перебуває у сфері регулювання</w:t>
            </w:r>
          </w:p>
        </w:tc>
        <w:tc>
          <w:tcPr>
            <w:tcW w:w="1121" w:type="dx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0,5 год.</w:t>
            </w:r>
          </w:p>
        </w:tc>
        <w:tc>
          <w:tcPr>
            <w:tcW w:w="1408" w:type="dxa"/>
            <w:tcBorders/>
            <w:shd w:fill="auto" w:val="clear"/>
            <w:tcMar>
              <w:left w:w="108" w:type="dxa"/>
            </w:tcMar>
          </w:tcPr>
          <w:p>
            <w:pPr>
              <w:pStyle w:val="Normal"/>
              <w:spacing w:before="150" w:after="150"/>
              <w:rPr>
                <w:color w:val="000000"/>
                <w:sz w:val="20"/>
                <w:szCs w:val="20"/>
                <w:lang w:eastAsia="uk-UA"/>
              </w:rPr>
            </w:pPr>
            <w:r>
              <w:rPr>
                <w:color w:val="FF0000"/>
                <w:sz w:val="20"/>
                <w:szCs w:val="20"/>
                <w:lang w:eastAsia="uk-UA"/>
              </w:rPr>
              <w:t>75,0</w:t>
            </w:r>
          </w:p>
        </w:tc>
        <w:tc>
          <w:tcPr>
            <w:tcW w:w="1598" w:type="dx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w:t>
            </w:r>
          </w:p>
        </w:tc>
        <w:tc>
          <w:tcPr>
            <w:tcW w:w="1917" w:type="dx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11</w:t>
            </w:r>
          </w:p>
        </w:tc>
        <w:tc>
          <w:tcPr>
            <w:tcW w:w="1616" w:type="dx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412,5</w:t>
            </w:r>
          </w:p>
        </w:tc>
      </w:tr>
      <w:tr>
        <w:trPr>
          <w:trHeight w:val="1706" w:hRule="atLeast"/>
        </w:trPr>
        <w:tc>
          <w:tcPr>
            <w:tcW w:w="1967" w:type="dx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2. Поточний контроль за суб’єктом господарювання, що перебуває у сфері регулювання, у тому числі:</w:t>
            </w:r>
          </w:p>
        </w:tc>
        <w:tc>
          <w:tcPr>
            <w:tcW w:w="1121" w:type="dxa"/>
            <w:tcBorders/>
            <w:shd w:fill="auto" w:val="clear"/>
            <w:tcMar>
              <w:left w:w="108" w:type="dxa"/>
            </w:tcMar>
          </w:tcPr>
          <w:p>
            <w:pPr>
              <w:pStyle w:val="Normal"/>
              <w:rPr>
                <w:sz w:val="20"/>
                <w:szCs w:val="20"/>
                <w:lang w:eastAsia="uk-UA"/>
              </w:rPr>
            </w:pPr>
            <w:r>
              <w:rPr>
                <w:sz w:val="20"/>
                <w:szCs w:val="20"/>
                <w:lang w:eastAsia="uk-UA"/>
              </w:rPr>
            </w:r>
          </w:p>
        </w:tc>
        <w:tc>
          <w:tcPr>
            <w:tcW w:w="1408" w:type="dxa"/>
            <w:tcBorders/>
            <w:shd w:fill="auto" w:val="clear"/>
            <w:tcMar>
              <w:left w:w="108" w:type="dxa"/>
            </w:tcMar>
          </w:tcPr>
          <w:p>
            <w:pPr>
              <w:pStyle w:val="Normal"/>
              <w:rPr>
                <w:sz w:val="20"/>
                <w:szCs w:val="20"/>
                <w:lang w:eastAsia="uk-UA"/>
              </w:rPr>
            </w:pPr>
            <w:r>
              <w:rPr>
                <w:sz w:val="20"/>
                <w:szCs w:val="20"/>
                <w:lang w:eastAsia="uk-UA"/>
              </w:rPr>
            </w:r>
          </w:p>
        </w:tc>
        <w:tc>
          <w:tcPr>
            <w:tcW w:w="1598" w:type="dxa"/>
            <w:tcBorders/>
            <w:shd w:fill="auto" w:val="clear"/>
            <w:tcMar>
              <w:left w:w="108" w:type="dxa"/>
            </w:tcMar>
          </w:tcPr>
          <w:p>
            <w:pPr>
              <w:pStyle w:val="Normal"/>
              <w:rPr>
                <w:sz w:val="20"/>
                <w:szCs w:val="20"/>
                <w:lang w:eastAsia="uk-UA"/>
              </w:rPr>
            </w:pPr>
            <w:r>
              <w:rPr>
                <w:sz w:val="20"/>
                <w:szCs w:val="20"/>
                <w:lang w:eastAsia="uk-UA"/>
              </w:rPr>
            </w:r>
          </w:p>
        </w:tc>
        <w:tc>
          <w:tcPr>
            <w:tcW w:w="1917" w:type="dxa"/>
            <w:tcBorders/>
            <w:shd w:fill="auto" w:val="clear"/>
            <w:tcMar>
              <w:left w:w="108" w:type="dxa"/>
            </w:tcMar>
          </w:tcPr>
          <w:p>
            <w:pPr>
              <w:pStyle w:val="Normal"/>
              <w:rPr>
                <w:sz w:val="20"/>
                <w:szCs w:val="20"/>
                <w:lang w:eastAsia="uk-UA"/>
              </w:rPr>
            </w:pPr>
            <w:r>
              <w:rPr>
                <w:sz w:val="20"/>
                <w:szCs w:val="20"/>
                <w:lang w:eastAsia="uk-UA"/>
              </w:rPr>
            </w:r>
          </w:p>
        </w:tc>
        <w:tc>
          <w:tcPr>
            <w:tcW w:w="1616" w:type="dxa"/>
            <w:tcBorders/>
            <w:shd w:fill="auto" w:val="clear"/>
            <w:tcMar>
              <w:left w:w="108" w:type="dxa"/>
            </w:tcMar>
          </w:tcPr>
          <w:p>
            <w:pPr>
              <w:pStyle w:val="Normal"/>
              <w:rPr>
                <w:sz w:val="20"/>
                <w:szCs w:val="20"/>
                <w:lang w:eastAsia="uk-UA"/>
              </w:rPr>
            </w:pPr>
            <w:r>
              <w:rPr>
                <w:sz w:val="20"/>
                <w:szCs w:val="20"/>
                <w:lang w:eastAsia="uk-UA"/>
              </w:rPr>
            </w:r>
          </w:p>
        </w:tc>
      </w:tr>
      <w:tr>
        <w:trPr/>
        <w:tc>
          <w:tcPr>
            <w:tcW w:w="1967" w:type="dxa"/>
            <w:tcBorders/>
            <w:shd w:fill="auto" w:val="clear"/>
            <w:tcMar>
              <w:left w:w="108" w:type="dxa"/>
            </w:tcMar>
          </w:tcPr>
          <w:p>
            <w:pPr>
              <w:pStyle w:val="Rvps2"/>
              <w:spacing w:before="120" w:after="0"/>
              <w:jc w:val="both"/>
              <w:textAlignment w:val="baseline"/>
              <w:rPr>
                <w:sz w:val="20"/>
                <w:szCs w:val="20"/>
              </w:rPr>
            </w:pPr>
            <w:r>
              <w:rPr>
                <w:sz w:val="20"/>
                <w:szCs w:val="20"/>
              </w:rPr>
              <w:t xml:space="preserve">     </w:t>
            </w:r>
            <w:r>
              <w:rPr>
                <w:sz w:val="20"/>
                <w:szCs w:val="20"/>
              </w:rPr>
              <w:t>камеральні</w:t>
            </w:r>
          </w:p>
        </w:tc>
        <w:tc>
          <w:tcPr>
            <w:tcW w:w="1121"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408"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598"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917"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616" w:type="dxa"/>
            <w:tcBorders/>
            <w:shd w:fill="auto" w:val="clear"/>
            <w:tcMar>
              <w:left w:w="108" w:type="dxa"/>
            </w:tcMar>
          </w:tcPr>
          <w:p>
            <w:pPr>
              <w:pStyle w:val="Rvps2"/>
              <w:spacing w:before="120" w:after="0"/>
              <w:jc w:val="both"/>
              <w:textAlignment w:val="baseline"/>
              <w:rPr>
                <w:sz w:val="28"/>
                <w:szCs w:val="28"/>
              </w:rPr>
            </w:pPr>
            <w:r>
              <w:rPr>
                <w:sz w:val="28"/>
                <w:szCs w:val="28"/>
              </w:rPr>
            </w:r>
          </w:p>
        </w:tc>
      </w:tr>
      <w:tr>
        <w:trPr/>
        <w:tc>
          <w:tcPr>
            <w:tcW w:w="1967" w:type="dxa"/>
            <w:tcBorders/>
            <w:shd w:fill="auto" w:val="clear"/>
            <w:tcMar>
              <w:left w:w="108" w:type="dxa"/>
            </w:tcMar>
          </w:tcPr>
          <w:p>
            <w:pPr>
              <w:pStyle w:val="Rvps2"/>
              <w:spacing w:before="120" w:after="0"/>
              <w:jc w:val="both"/>
              <w:textAlignment w:val="baseline"/>
              <w:rPr>
                <w:sz w:val="20"/>
                <w:szCs w:val="20"/>
              </w:rPr>
            </w:pPr>
            <w:r>
              <w:rPr>
                <w:sz w:val="20"/>
                <w:szCs w:val="20"/>
              </w:rPr>
              <w:t xml:space="preserve">     </w:t>
            </w:r>
            <w:r>
              <w:rPr>
                <w:sz w:val="20"/>
                <w:szCs w:val="20"/>
              </w:rPr>
              <w:t xml:space="preserve">виїзні </w:t>
            </w:r>
          </w:p>
        </w:tc>
        <w:tc>
          <w:tcPr>
            <w:tcW w:w="1121"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408"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598"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917" w:type="dxa"/>
            <w:tcBorders/>
            <w:shd w:fill="auto" w:val="clear"/>
            <w:tcMar>
              <w:left w:w="108" w:type="dxa"/>
            </w:tcMar>
          </w:tcPr>
          <w:p>
            <w:pPr>
              <w:pStyle w:val="Rvps2"/>
              <w:spacing w:before="120" w:after="0"/>
              <w:jc w:val="both"/>
              <w:textAlignment w:val="baseline"/>
              <w:rPr>
                <w:sz w:val="28"/>
                <w:szCs w:val="28"/>
              </w:rPr>
            </w:pPr>
            <w:r>
              <w:rPr>
                <w:sz w:val="28"/>
                <w:szCs w:val="28"/>
              </w:rPr>
            </w:r>
          </w:p>
        </w:tc>
        <w:tc>
          <w:tcPr>
            <w:tcW w:w="1616" w:type="dxa"/>
            <w:tcBorders/>
            <w:shd w:fill="auto" w:val="clear"/>
            <w:tcMar>
              <w:left w:w="108" w:type="dxa"/>
            </w:tcMar>
          </w:tcPr>
          <w:p>
            <w:pPr>
              <w:pStyle w:val="Rvps2"/>
              <w:spacing w:before="120" w:after="0"/>
              <w:jc w:val="both"/>
              <w:textAlignment w:val="baseline"/>
              <w:rPr>
                <w:sz w:val="28"/>
                <w:szCs w:val="28"/>
              </w:rPr>
            </w:pPr>
            <w:r>
              <w:rPr>
                <w:sz w:val="28"/>
                <w:szCs w:val="28"/>
              </w:rPr>
            </w:r>
          </w:p>
        </w:tc>
      </w:tr>
      <w:tr>
        <w:trPr/>
        <w:tc>
          <w:tcPr>
            <w:tcW w:w="1967" w:type="dxa"/>
            <w:tcBorders/>
            <w:shd w:fill="auto" w:val="clear"/>
            <w:tcMar>
              <w:left w:w="108" w:type="dxa"/>
            </w:tcMar>
          </w:tcPr>
          <w:p>
            <w:pPr>
              <w:pStyle w:val="Rvps2"/>
              <w:spacing w:before="120" w:after="0"/>
              <w:jc w:val="both"/>
              <w:textAlignment w:val="baseline"/>
              <w:rPr>
                <w:sz w:val="20"/>
                <w:szCs w:val="20"/>
              </w:rPr>
            </w:pPr>
            <w:r>
              <w:rPr>
                <w:sz w:val="20"/>
                <w:szCs w:val="20"/>
              </w:rPr>
              <w:t xml:space="preserve">3. </w:t>
            </w:r>
            <w:r>
              <w:rPr>
                <w:sz w:val="20"/>
                <w:szCs w:val="20"/>
                <w:lang w:val="ru-RU"/>
              </w:rPr>
              <w:t>Підготовка, затвердження та опрацювання одного окремого акта про порушення вимог регулювання</w:t>
            </w:r>
          </w:p>
        </w:tc>
        <w:tc>
          <w:tcPr>
            <w:tcW w:w="1121"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408"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598"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917"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616" w:type="dxa"/>
            <w:tcBorders/>
            <w:shd w:fill="auto" w:val="clear"/>
            <w:tcMar>
              <w:left w:w="108" w:type="dxa"/>
            </w:tcMar>
          </w:tcPr>
          <w:p>
            <w:pPr>
              <w:pStyle w:val="Rvps2"/>
              <w:spacing w:before="120" w:after="0"/>
              <w:jc w:val="both"/>
              <w:textAlignment w:val="baseline"/>
              <w:rPr>
                <w:sz w:val="20"/>
                <w:szCs w:val="20"/>
              </w:rPr>
            </w:pPr>
            <w:r>
              <w:rPr>
                <w:sz w:val="20"/>
                <w:szCs w:val="20"/>
              </w:rPr>
            </w:r>
          </w:p>
        </w:tc>
      </w:tr>
      <w:tr>
        <w:trPr/>
        <w:tc>
          <w:tcPr>
            <w:tcW w:w="1967" w:type="dxa"/>
            <w:tcBorders/>
            <w:shd w:fill="auto" w:val="clear"/>
            <w:tcMar>
              <w:left w:w="108" w:type="dxa"/>
            </w:tcMar>
          </w:tcPr>
          <w:p>
            <w:pPr>
              <w:pStyle w:val="Rvps2"/>
              <w:spacing w:before="120" w:after="0"/>
              <w:jc w:val="both"/>
              <w:textAlignment w:val="baseline"/>
              <w:rPr>
                <w:sz w:val="20"/>
                <w:szCs w:val="20"/>
              </w:rPr>
            </w:pPr>
            <w:r>
              <w:rPr>
                <w:sz w:val="20"/>
                <w:szCs w:val="20"/>
              </w:rPr>
              <w:t xml:space="preserve">4. </w:t>
            </w:r>
            <w:r>
              <w:rPr>
                <w:sz w:val="20"/>
                <w:szCs w:val="20"/>
                <w:lang w:val="ru-RU"/>
              </w:rPr>
              <w:t>Реалізація одного окремого рішення щодо порушення вимог регулювання</w:t>
            </w:r>
          </w:p>
        </w:tc>
        <w:tc>
          <w:tcPr>
            <w:tcW w:w="1121"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408"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598"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917"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616" w:type="dxa"/>
            <w:tcBorders/>
            <w:shd w:fill="auto" w:val="clear"/>
            <w:tcMar>
              <w:left w:w="108" w:type="dxa"/>
            </w:tcMar>
          </w:tcPr>
          <w:p>
            <w:pPr>
              <w:pStyle w:val="Rvps2"/>
              <w:spacing w:before="120" w:after="0"/>
              <w:jc w:val="both"/>
              <w:textAlignment w:val="baseline"/>
              <w:rPr>
                <w:sz w:val="20"/>
                <w:szCs w:val="20"/>
              </w:rPr>
            </w:pPr>
            <w:r>
              <w:rPr>
                <w:sz w:val="20"/>
                <w:szCs w:val="20"/>
              </w:rPr>
            </w:r>
          </w:p>
        </w:tc>
      </w:tr>
      <w:tr>
        <w:trPr/>
        <w:tc>
          <w:tcPr>
            <w:tcW w:w="1967" w:type="dxa"/>
            <w:tcBorders/>
            <w:shd w:fill="auto" w:val="clear"/>
            <w:tcMar>
              <w:left w:w="108" w:type="dxa"/>
            </w:tcMar>
          </w:tcPr>
          <w:p>
            <w:pPr>
              <w:pStyle w:val="Rvps2"/>
              <w:spacing w:before="120" w:after="0"/>
              <w:jc w:val="both"/>
              <w:textAlignment w:val="baseline"/>
              <w:rPr>
                <w:sz w:val="20"/>
                <w:szCs w:val="20"/>
              </w:rPr>
            </w:pPr>
            <w:r>
              <w:rPr>
                <w:sz w:val="20"/>
                <w:szCs w:val="20"/>
              </w:rPr>
              <w:t xml:space="preserve">5. </w:t>
            </w:r>
            <w:r>
              <w:rPr>
                <w:sz w:val="20"/>
                <w:szCs w:val="20"/>
                <w:lang w:val="ru-RU"/>
              </w:rPr>
              <w:t>Оскарження одного окремого рішення суб’єктами господарювання</w:t>
            </w:r>
          </w:p>
        </w:tc>
        <w:tc>
          <w:tcPr>
            <w:tcW w:w="1121"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408"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598"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917" w:type="dxa"/>
            <w:tcBorders/>
            <w:shd w:fill="auto" w:val="clear"/>
            <w:tcMar>
              <w:left w:w="108" w:type="dxa"/>
            </w:tcMar>
          </w:tcPr>
          <w:p>
            <w:pPr>
              <w:pStyle w:val="Rvps2"/>
              <w:spacing w:before="120" w:after="0"/>
              <w:jc w:val="both"/>
              <w:textAlignment w:val="baseline"/>
              <w:rPr>
                <w:sz w:val="20"/>
                <w:szCs w:val="20"/>
              </w:rPr>
            </w:pPr>
            <w:r>
              <w:rPr>
                <w:sz w:val="20"/>
                <w:szCs w:val="20"/>
              </w:rPr>
            </w:r>
          </w:p>
        </w:tc>
        <w:tc>
          <w:tcPr>
            <w:tcW w:w="1616" w:type="dxa"/>
            <w:tcBorders/>
            <w:shd w:fill="auto" w:val="clear"/>
            <w:tcMar>
              <w:left w:w="108" w:type="dxa"/>
            </w:tcMar>
          </w:tcPr>
          <w:p>
            <w:pPr>
              <w:pStyle w:val="Rvps2"/>
              <w:spacing w:before="120" w:after="0"/>
              <w:jc w:val="both"/>
              <w:textAlignment w:val="baseline"/>
              <w:rPr>
                <w:sz w:val="20"/>
                <w:szCs w:val="20"/>
              </w:rPr>
            </w:pPr>
            <w:r>
              <w:rPr>
                <w:sz w:val="20"/>
                <w:szCs w:val="20"/>
              </w:rPr>
            </w:r>
          </w:p>
        </w:tc>
      </w:tr>
      <w:tr>
        <w:trPr/>
        <w:tc>
          <w:tcPr>
            <w:tcW w:w="1967" w:type="dxa"/>
            <w:tcBorders/>
            <w:shd w:fill="auto" w:val="clear"/>
            <w:tcMar>
              <w:left w:w="108" w:type="dxa"/>
            </w:tcMar>
          </w:tcPr>
          <w:p>
            <w:pPr>
              <w:pStyle w:val="Rvps2"/>
              <w:spacing w:before="120" w:after="0"/>
              <w:jc w:val="both"/>
              <w:textAlignment w:val="baseline"/>
              <w:rPr>
                <w:sz w:val="20"/>
                <w:szCs w:val="20"/>
              </w:rPr>
            </w:pPr>
            <w:r>
              <w:rPr>
                <w:sz w:val="20"/>
                <w:szCs w:val="20"/>
              </w:rPr>
              <w:t>6. Підготовка звітності за результатами регулювання</w:t>
            </w:r>
          </w:p>
          <w:tbl>
            <w:tblPr>
              <w:tblW w:w="950" w:type="pct"/>
              <w:jc w:val="left"/>
              <w:tblInd w:w="0" w:type="dxa"/>
              <w:tblBorders/>
              <w:tblCellMar>
                <w:top w:w="15" w:type="dxa"/>
                <w:left w:w="15" w:type="dxa"/>
                <w:bottom w:w="15" w:type="dxa"/>
                <w:right w:w="15" w:type="dxa"/>
              </w:tblCellMar>
              <w:tblLook w:firstRow="1" w:noVBand="1" w:lastRow="0" w:firstColumn="1" w:lastColumn="0" w:noHBand="0" w:val="04a0"/>
            </w:tblPr>
            <w:tblGrid>
              <w:gridCol w:w="165"/>
              <w:gridCol w:w="165"/>
            </w:tblGrid>
            <w:tr>
              <w:trPr>
                <w:trHeight w:val="23" w:hRule="exact"/>
              </w:trPr>
              <w:tc>
                <w:tcPr>
                  <w:tcW w:w="165" w:type="dxa"/>
                  <w:tcBorders/>
                  <w:shd w:color="auto" w:fill="FFFFFF" w:val="clear"/>
                </w:tcPr>
                <w:p>
                  <w:pPr>
                    <w:pStyle w:val="Normal"/>
                    <w:rPr>
                      <w:sz w:val="20"/>
                      <w:szCs w:val="20"/>
                      <w:lang w:eastAsia="uk-UA"/>
                    </w:rPr>
                  </w:pPr>
                  <w:r>
                    <w:rPr>
                      <w:sz w:val="20"/>
                      <w:szCs w:val="20"/>
                      <w:lang w:eastAsia="uk-UA"/>
                    </w:rPr>
                  </w:r>
                </w:p>
              </w:tc>
              <w:tc>
                <w:tcPr>
                  <w:tcW w:w="165" w:type="dxa"/>
                  <w:tcBorders/>
                  <w:shd w:color="auto" w:fill="FFFFFF" w:val="clear"/>
                </w:tcPr>
                <w:p>
                  <w:pPr>
                    <w:pStyle w:val="Normal"/>
                    <w:spacing w:before="150" w:after="150"/>
                    <w:rPr>
                      <w:color w:val="000000"/>
                      <w:lang w:eastAsia="uk-UA"/>
                    </w:rPr>
                  </w:pPr>
                  <w:r>
                    <w:rPr>
                      <w:color w:val="000000"/>
                      <w:lang w:eastAsia="uk-UA"/>
                    </w:rPr>
                  </w:r>
                </w:p>
              </w:tc>
            </w:tr>
          </w:tbl>
          <w:p>
            <w:pPr>
              <w:pStyle w:val="Rvps2"/>
              <w:spacing w:before="120" w:after="0"/>
              <w:jc w:val="both"/>
              <w:textAlignment w:val="baseline"/>
              <w:rPr>
                <w:sz w:val="20"/>
                <w:szCs w:val="20"/>
              </w:rPr>
            </w:pPr>
            <w:r>
              <w:rPr>
                <w:sz w:val="20"/>
                <w:szCs w:val="20"/>
              </w:rPr>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1,0 год</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7.Інші адміністративні процедури (підготовка рішення про встановлення тарифу):</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1,0 год</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РАЗОМ ЗА РІК</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2,5</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2 062,5</w:t>
            </w:r>
          </w:p>
        </w:tc>
      </w:tr>
      <w:tr>
        <w:trPr/>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СУМАРНО ЗА 5 РОКІВ</w:t>
            </w:r>
          </w:p>
        </w:tc>
        <w:tc>
          <w:tcPr>
            <w:tcW w:w="11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12,5</w:t>
            </w:r>
          </w:p>
        </w:tc>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Rvps2"/>
              <w:spacing w:before="120" w:after="0"/>
              <w:jc w:val="both"/>
              <w:textAlignment w:val="baseline"/>
              <w:rPr>
                <w:sz w:val="20"/>
                <w:szCs w:val="20"/>
              </w:rPr>
            </w:pPr>
            <w:r>
              <w:rPr>
                <w:sz w:val="20"/>
                <w:szCs w:val="20"/>
              </w:rPr>
              <w:t>10 312,5‬</w:t>
            </w:r>
          </w:p>
        </w:tc>
      </w:tr>
    </w:tbl>
    <w:p>
      <w:pPr>
        <w:pStyle w:val="Rvps2"/>
        <w:shd w:val="clear" w:color="auto" w:fill="FFFFFF"/>
        <w:spacing w:before="120" w:after="0"/>
        <w:ind w:firstLine="709"/>
        <w:jc w:val="both"/>
        <w:textAlignment w:val="baseline"/>
        <w:rPr>
          <w:sz w:val="28"/>
          <w:szCs w:val="28"/>
        </w:rPr>
      </w:pPr>
      <w:r>
        <w:rPr>
          <w:color w:val="000000"/>
          <w:sz w:val="20"/>
          <w:szCs w:val="20"/>
          <w:shd w:fill="FFFFFF" w:val="clear"/>
        </w:rPr>
        <w:t xml:space="preserve">   </w:t>
      </w:r>
      <w:r>
        <w:rPr>
          <w:color w:val="000000"/>
          <w:sz w:val="20"/>
          <w:szCs w:val="20"/>
          <w:shd w:fill="FFFFFF" w:val="clear"/>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Normal"/>
        <w:spacing w:lineRule="exact" w:line="320"/>
        <w:rPr/>
      </w:pPr>
      <w:r>
        <w:rPr/>
      </w:r>
    </w:p>
    <w:p>
      <w:pPr>
        <w:pStyle w:val="Normal"/>
        <w:spacing w:lineRule="auto" w:line="244"/>
        <w:ind w:left="260" w:hanging="0"/>
        <w:jc w:val="center"/>
        <w:rPr>
          <w:b/>
          <w:b/>
          <w:i/>
          <w:i/>
          <w:sz w:val="27"/>
        </w:rPr>
      </w:pPr>
      <w:r>
        <w:rPr>
          <w:b/>
          <w:i/>
          <w:sz w:val="26"/>
        </w:rPr>
        <w:t>4</w:t>
      </w:r>
      <w:r>
        <w:rPr>
          <w:b/>
          <w:i/>
          <w:sz w:val="27"/>
        </w:rPr>
        <w:t>.</w:t>
      </w:r>
      <w:r>
        <w:rPr>
          <w:b/>
          <w:i/>
          <w:sz w:val="26"/>
        </w:rPr>
        <w:t xml:space="preserve"> </w:t>
      </w:r>
      <w:r>
        <w:rPr>
          <w:b/>
          <w:i/>
          <w:sz w:val="27"/>
        </w:rPr>
        <w:t>Розрахунок сумарних витрат суб’єктів малого</w:t>
      </w:r>
      <w:r>
        <w:rPr>
          <w:b/>
          <w:i/>
          <w:sz w:val="26"/>
        </w:rPr>
        <w:t xml:space="preserve"> </w:t>
      </w:r>
      <w:r>
        <w:rPr>
          <w:b/>
          <w:i/>
          <w:sz w:val="27"/>
        </w:rPr>
        <w:t>підприємництва, що виникають на виконання вимог регулювання</w:t>
      </w:r>
    </w:p>
    <w:p>
      <w:pPr>
        <w:pStyle w:val="Rvps2"/>
        <w:shd w:val="clear" w:color="auto" w:fill="FFFFFF"/>
        <w:spacing w:before="0" w:after="0"/>
        <w:textAlignment w:val="baseline"/>
        <w:rPr>
          <w:sz w:val="28"/>
          <w:szCs w:val="28"/>
        </w:rPr>
      </w:pPr>
      <w:r>
        <w:rPr>
          <w:sz w:val="28"/>
          <w:szCs w:val="28"/>
        </w:rPr>
      </w:r>
    </w:p>
    <w:tbl>
      <w:tblPr>
        <w:tblW w:w="11194" w:type="dxa"/>
        <w:jc w:val="left"/>
        <w:tblInd w:w="-35"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988"/>
        <w:gridCol w:w="3941"/>
        <w:gridCol w:w="2423"/>
        <w:gridCol w:w="2365"/>
        <w:gridCol w:w="1477"/>
      </w:tblGrid>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 xml:space="preserve">№ </w:t>
            </w:r>
            <w:r>
              <w:rPr>
                <w:sz w:val="28"/>
                <w:szCs w:val="28"/>
              </w:rPr>
              <w:t>з/п</w:t>
            </w:r>
          </w:p>
        </w:tc>
        <w:tc>
          <w:tcPr>
            <w:tcW w:w="394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Показник</w:t>
            </w:r>
          </w:p>
        </w:tc>
        <w:tc>
          <w:tcPr>
            <w:tcW w:w="242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Перший рік регулювання (стартовий)</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jc w:val="center"/>
              <w:textAlignment w:val="baseline"/>
              <w:rPr/>
            </w:pPr>
            <w:r>
              <w:rPr>
                <w:sz w:val="28"/>
                <w:szCs w:val="28"/>
              </w:rPr>
              <w:t>За п’ять років</w:t>
            </w:r>
          </w:p>
        </w:tc>
        <w:tc>
          <w:tcPr>
            <w:tcW w:w="1477" w:type="dxa"/>
            <w:tcBorders/>
            <w:shd w:fill="auto" w:val="cle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w:t>
            </w:r>
          </w:p>
        </w:tc>
        <w:tc>
          <w:tcPr>
            <w:tcW w:w="394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Оцінка “прямих” витрат суб’єктів малого підприємництва на виконання регулювання</w:t>
            </w:r>
          </w:p>
        </w:tc>
        <w:tc>
          <w:tcPr>
            <w:tcW w:w="242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800 грн. (дані рядка 8 пункту 3 цього додатка)</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4000 грн. (дані рядка 8 пункту 3 цього додатка)</w:t>
            </w:r>
          </w:p>
        </w:tc>
        <w:tc>
          <w:tcPr>
            <w:tcW w:w="1477" w:type="dxa"/>
            <w:tcBorders/>
            <w:shd w:fill="auto" w:val="clear"/>
          </w:tcPr>
          <w:p>
            <w:pPr>
              <w:pStyle w:val="Rvps14"/>
              <w:spacing w:before="0" w:after="0"/>
              <w:jc w:val="center"/>
              <w:textAlignment w:val="baseline"/>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2.</w:t>
            </w:r>
          </w:p>
        </w:tc>
        <w:tc>
          <w:tcPr>
            <w:tcW w:w="394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1 353 грн. (дані рядка 16 пункту 3 цього додатка)</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6 765 грн. (дані рядка 16 пункту 3 цього додатка)</w:t>
            </w:r>
          </w:p>
        </w:tc>
        <w:tc>
          <w:tcPr>
            <w:tcW w:w="1477" w:type="dxa"/>
            <w:tcBorders/>
            <w:shd w:fill="auto" w:val="cle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3.</w:t>
            </w:r>
          </w:p>
        </w:tc>
        <w:tc>
          <w:tcPr>
            <w:tcW w:w="394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Сумарні витрати малого підприємництва на виконання запланованого  регулювання</w:t>
            </w:r>
          </w:p>
        </w:tc>
        <w:tc>
          <w:tcPr>
            <w:tcW w:w="242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2 153 грн. (сума рядків 1 та 2 цієї таблиці)</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10 765 грн. (сума рядків 1 та 2 цієї таблиці)</w:t>
            </w:r>
          </w:p>
        </w:tc>
        <w:tc>
          <w:tcPr>
            <w:tcW w:w="1477" w:type="dxa"/>
            <w:tcBorders/>
            <w:shd w:fill="auto" w:val="cle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4.</w:t>
            </w:r>
          </w:p>
        </w:tc>
        <w:tc>
          <w:tcPr>
            <w:tcW w:w="394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Бюджетні витрати  на адміністрування регулювання суб’єктів малого підприємництва</w:t>
            </w:r>
          </w:p>
        </w:tc>
        <w:tc>
          <w:tcPr>
            <w:tcW w:w="242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textAlignment w:val="baseline"/>
              <w:rPr/>
            </w:pPr>
            <w:r>
              <w:rPr>
                <w:sz w:val="28"/>
                <w:szCs w:val="28"/>
              </w:rPr>
              <w:t>2 062,5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textAlignment w:val="baseline"/>
              <w:rPr/>
            </w:pPr>
            <w:r>
              <w:rPr>
                <w:sz w:val="28"/>
                <w:szCs w:val="28"/>
              </w:rPr>
              <w:t>10 312,5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c>
          <w:tcPr>
            <w:tcW w:w="1477" w:type="dxa"/>
            <w:tcBorders/>
            <w:shd w:fill="auto" w:val="cle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5.</w:t>
            </w:r>
          </w:p>
        </w:tc>
        <w:tc>
          <w:tcPr>
            <w:tcW w:w="3941"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Сумарні витрати на виконання запланованого регулювання</w:t>
            </w:r>
          </w:p>
        </w:tc>
        <w:tc>
          <w:tcPr>
            <w:tcW w:w="2423"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4215,5грн. (сума рядків 3 та 4 цієї таблиці)</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21 077,5 грн. (сума рядків 3 та 4 цієї таблиці)</w:t>
            </w:r>
          </w:p>
        </w:tc>
        <w:tc>
          <w:tcPr>
            <w:tcW w:w="1477" w:type="dxa"/>
            <w:tcBorders/>
            <w:shd w:fill="auto" w:val="clear"/>
          </w:tcPr>
          <w:p>
            <w:pPr>
              <w:pStyle w:val="Normal"/>
              <w:rPr/>
            </w:pPr>
            <w:r>
              <w:rPr/>
            </w:r>
          </w:p>
        </w:tc>
      </w:tr>
    </w:tbl>
    <w:p>
      <w:pPr>
        <w:pStyle w:val="Style31"/>
        <w:ind w:firstLine="709"/>
        <w:jc w:val="center"/>
        <w:rPr>
          <w:rFonts w:ascii="Times New Roman" w:hAnsi="Times New Roman"/>
          <w:b/>
          <w:b/>
          <w:bCs/>
          <w:i/>
          <w:i/>
          <w:iCs/>
          <w:sz w:val="28"/>
          <w:szCs w:val="28"/>
        </w:rPr>
      </w:pPr>
      <w:r>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pPr>
        <w:pStyle w:val="Style31"/>
        <w:ind w:firstLine="709"/>
        <w:jc w:val="both"/>
        <w:rPr/>
      </w:pPr>
      <w:r>
        <w:rPr>
          <w:rFonts w:ascii="Times New Roman" w:hAnsi="Times New Roman"/>
          <w:sz w:val="28"/>
          <w:szCs w:val="28"/>
        </w:rPr>
        <w:t>Коригуючі (пом’якшувальні) заходи для суб’єктів малого підприємництва не передбачаються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rPr>
      </w:pPr>
      <w:r>
        <w:rPr>
          <w:b/>
          <w:bCs/>
          <w:sz w:val="28"/>
          <w:szCs w:val="28"/>
        </w:rPr>
        <w:t xml:space="preserve">Начальник УМГ </w:t>
        <w:tab/>
        <w:tab/>
        <w:tab/>
        <w:tab/>
        <w:tab/>
        <w:tab/>
        <w:tab/>
        <w:tab/>
        <w:t xml:space="preserve">    В. Гасинець</w:t>
      </w:r>
    </w:p>
    <w:p>
      <w:pPr>
        <w:pStyle w:val="Normal"/>
        <w:suppressAutoHyphens w:val="false"/>
        <w:rPr/>
      </w:pPr>
      <w:r>
        <w:rPr/>
      </w:r>
    </w:p>
    <w:sectPr>
      <w:type w:val="nextPage"/>
      <w:pgSz w:w="11906" w:h="16838"/>
      <w:pgMar w:left="1701" w:right="567" w:header="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TimesNewRoman">
    <w:charset w:val="cc"/>
    <w:family w:val="roman"/>
    <w:pitch w:val="variable"/>
  </w:font>
  <w:font w:name="Liberation Sans">
    <w:altName w:val="Arial"/>
    <w:charset w:val="cc"/>
    <w:family w:val="swiss"/>
    <w:pitch w:val="variable"/>
  </w:font>
  <w:font w:name="Antiqua">
    <w:charset w:val="cc"/>
    <w:family w:val="roman"/>
    <w:pitch w:val="variable"/>
  </w:font>
  <w:font w:name="Times New Roman CYR">
    <w:charset w:val="cc"/>
    <w:family w:val="roman"/>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3071"/>
    <w:pPr>
      <w:widowControl/>
      <w:suppressAutoHyphens w:val="true"/>
      <w:bidi w:val="0"/>
      <w:jc w:val="left"/>
    </w:pPr>
    <w:rPr>
      <w:rFonts w:ascii="Times New Roman" w:hAnsi="Times New Roman" w:eastAsia="Times New Roman" w:cs="Times New Roman"/>
      <w:color w:val="auto"/>
      <w:sz w:val="24"/>
      <w:szCs w:val="24"/>
      <w:lang w:val="uk-UA" w:eastAsia="zh-CN" w:bidi="ar-SA"/>
    </w:rPr>
  </w:style>
  <w:style w:type="paragraph" w:styleId="1">
    <w:name w:val="Heading 1"/>
    <w:basedOn w:val="Normal"/>
    <w:qFormat/>
    <w:rsid w:val="00093071"/>
    <w:pPr>
      <w:keepNext/>
      <w:numPr>
        <w:ilvl w:val="0"/>
        <w:numId w:val="1"/>
      </w:numPr>
      <w:spacing w:before="240" w:after="60"/>
      <w:outlineLvl w:val="0"/>
      <w:outlineLvl w:val="0"/>
    </w:pPr>
    <w:rPr>
      <w:rFonts w:ascii="Arial" w:hAnsi="Arial" w:cs="Arial"/>
      <w:b/>
      <w:bCs/>
      <w:sz w:val="32"/>
      <w:szCs w:val="32"/>
      <w:lang w:val="ru-RU"/>
    </w:rPr>
  </w:style>
  <w:style w:type="paragraph" w:styleId="2">
    <w:name w:val="Heading 2"/>
    <w:basedOn w:val="Normal"/>
    <w:qFormat/>
    <w:rsid w:val="00093071"/>
    <w:pPr>
      <w:keepNext/>
      <w:numPr>
        <w:ilvl w:val="1"/>
        <w:numId w:val="1"/>
      </w:numPr>
      <w:jc w:val="center"/>
      <w:outlineLvl w:val="1"/>
      <w:outlineLvl w:val="1"/>
    </w:pPr>
    <w:rPr>
      <w:b/>
      <w:bCs/>
      <w:sz w:val="30"/>
    </w:rPr>
  </w:style>
  <w:style w:type="paragraph" w:styleId="3">
    <w:name w:val="Heading 3"/>
    <w:basedOn w:val="Normal"/>
    <w:link w:val="30"/>
    <w:uiPriority w:val="9"/>
    <w:semiHidden/>
    <w:unhideWhenUsed/>
    <w:qFormat/>
    <w:rsid w:val="00f80f0c"/>
    <w:pPr>
      <w:keepNext/>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093071"/>
    <w:rPr/>
  </w:style>
  <w:style w:type="character" w:styleId="WW8Num1z1" w:customStyle="1">
    <w:name w:val="WW8Num1z1"/>
    <w:qFormat/>
    <w:rsid w:val="00093071"/>
    <w:rPr/>
  </w:style>
  <w:style w:type="character" w:styleId="WW8Num1z2" w:customStyle="1">
    <w:name w:val="WW8Num1z2"/>
    <w:qFormat/>
    <w:rsid w:val="00093071"/>
    <w:rPr/>
  </w:style>
  <w:style w:type="character" w:styleId="WW8Num1z3" w:customStyle="1">
    <w:name w:val="WW8Num1z3"/>
    <w:qFormat/>
    <w:rsid w:val="00093071"/>
    <w:rPr/>
  </w:style>
  <w:style w:type="character" w:styleId="WW8Num1z4" w:customStyle="1">
    <w:name w:val="WW8Num1z4"/>
    <w:qFormat/>
    <w:rsid w:val="00093071"/>
    <w:rPr/>
  </w:style>
  <w:style w:type="character" w:styleId="WW8Num1z5" w:customStyle="1">
    <w:name w:val="WW8Num1z5"/>
    <w:qFormat/>
    <w:rsid w:val="00093071"/>
    <w:rPr/>
  </w:style>
  <w:style w:type="character" w:styleId="WW8Num1z6" w:customStyle="1">
    <w:name w:val="WW8Num1z6"/>
    <w:qFormat/>
    <w:rsid w:val="00093071"/>
    <w:rPr/>
  </w:style>
  <w:style w:type="character" w:styleId="WW8Num1z7" w:customStyle="1">
    <w:name w:val="WW8Num1z7"/>
    <w:qFormat/>
    <w:rsid w:val="00093071"/>
    <w:rPr/>
  </w:style>
  <w:style w:type="character" w:styleId="WW8Num1z8" w:customStyle="1">
    <w:name w:val="WW8Num1z8"/>
    <w:qFormat/>
    <w:rsid w:val="00093071"/>
    <w:rPr/>
  </w:style>
  <w:style w:type="character" w:styleId="WW8Num2z0" w:customStyle="1">
    <w:name w:val="WW8Num2z0"/>
    <w:qFormat/>
    <w:rsid w:val="00093071"/>
    <w:rPr/>
  </w:style>
  <w:style w:type="character" w:styleId="WW8Num2z1" w:customStyle="1">
    <w:name w:val="WW8Num2z1"/>
    <w:qFormat/>
    <w:rsid w:val="00093071"/>
    <w:rPr/>
  </w:style>
  <w:style w:type="character" w:styleId="WW8Num2z2" w:customStyle="1">
    <w:name w:val="WW8Num2z2"/>
    <w:qFormat/>
    <w:rsid w:val="00093071"/>
    <w:rPr/>
  </w:style>
  <w:style w:type="character" w:styleId="WW8Num2z3" w:customStyle="1">
    <w:name w:val="WW8Num2z3"/>
    <w:qFormat/>
    <w:rsid w:val="00093071"/>
    <w:rPr/>
  </w:style>
  <w:style w:type="character" w:styleId="WW8Num2z4" w:customStyle="1">
    <w:name w:val="WW8Num2z4"/>
    <w:qFormat/>
    <w:rsid w:val="00093071"/>
    <w:rPr/>
  </w:style>
  <w:style w:type="character" w:styleId="WW8Num2z5" w:customStyle="1">
    <w:name w:val="WW8Num2z5"/>
    <w:qFormat/>
    <w:rsid w:val="00093071"/>
    <w:rPr/>
  </w:style>
  <w:style w:type="character" w:styleId="WW8Num2z6" w:customStyle="1">
    <w:name w:val="WW8Num2z6"/>
    <w:qFormat/>
    <w:rsid w:val="00093071"/>
    <w:rPr/>
  </w:style>
  <w:style w:type="character" w:styleId="WW8Num2z7" w:customStyle="1">
    <w:name w:val="WW8Num2z7"/>
    <w:qFormat/>
    <w:rsid w:val="00093071"/>
    <w:rPr/>
  </w:style>
  <w:style w:type="character" w:styleId="WW8Num2z8" w:customStyle="1">
    <w:name w:val="WW8Num2z8"/>
    <w:qFormat/>
    <w:rsid w:val="00093071"/>
    <w:rPr/>
  </w:style>
  <w:style w:type="character" w:styleId="11" w:customStyle="1">
    <w:name w:val="Основной шрифт абзаца1"/>
    <w:qFormat/>
    <w:rsid w:val="00093071"/>
    <w:rPr/>
  </w:style>
  <w:style w:type="character" w:styleId="Style11" w:customStyle="1">
    <w:name w:val="Текст выноски Знак"/>
    <w:basedOn w:val="DefaultParagraphFont"/>
    <w:link w:val="ae"/>
    <w:uiPriority w:val="99"/>
    <w:semiHidden/>
    <w:qFormat/>
    <w:rsid w:val="0098656f"/>
    <w:rPr>
      <w:rFonts w:ascii="Segoe UI" w:hAnsi="Segoe UI" w:cs="Segoe UI"/>
      <w:sz w:val="18"/>
      <w:szCs w:val="18"/>
      <w:lang w:val="uk-UA" w:eastAsia="zh-CN"/>
    </w:rPr>
  </w:style>
  <w:style w:type="character" w:styleId="Style12" w:customStyle="1">
    <w:name w:val="Верхний колонтитул Знак"/>
    <w:basedOn w:val="DefaultParagraphFont"/>
    <w:link w:val="af0"/>
    <w:uiPriority w:val="99"/>
    <w:qFormat/>
    <w:rsid w:val="00344130"/>
    <w:rPr>
      <w:sz w:val="24"/>
      <w:szCs w:val="24"/>
      <w:lang w:val="uk-UA" w:eastAsia="zh-CN"/>
    </w:rPr>
  </w:style>
  <w:style w:type="character" w:styleId="Style13" w:customStyle="1">
    <w:name w:val="Нижний колонтитул Знак"/>
    <w:basedOn w:val="DefaultParagraphFont"/>
    <w:link w:val="af2"/>
    <w:uiPriority w:val="99"/>
    <w:qFormat/>
    <w:rsid w:val="00344130"/>
    <w:rPr>
      <w:sz w:val="24"/>
      <w:szCs w:val="24"/>
      <w:lang w:val="uk-UA" w:eastAsia="zh-CN"/>
    </w:rPr>
  </w:style>
  <w:style w:type="character" w:styleId="31" w:customStyle="1">
    <w:name w:val="Заголовок 3 Знак"/>
    <w:basedOn w:val="DefaultParagraphFont"/>
    <w:link w:val="3"/>
    <w:uiPriority w:val="9"/>
    <w:semiHidden/>
    <w:qFormat/>
    <w:rsid w:val="00f80f0c"/>
    <w:rPr>
      <w:rFonts w:ascii="Cambria" w:hAnsi="Cambria" w:eastAsia="" w:cs="" w:asciiTheme="majorHAnsi" w:cstheme="majorBidi" w:eastAsiaTheme="majorEastAsia" w:hAnsiTheme="majorHAnsi"/>
      <w:color w:val="243F60" w:themeColor="accent1" w:themeShade="7f"/>
      <w:sz w:val="24"/>
      <w:szCs w:val="24"/>
      <w:lang w:val="uk-UA" w:eastAsia="zh-CN"/>
    </w:rPr>
  </w:style>
  <w:style w:type="character" w:styleId="Style14">
    <w:name w:val="Интернет-ссылка"/>
    <w:unhideWhenUsed/>
    <w:rsid w:val="00bb5479"/>
    <w:rPr>
      <w:color w:val="000080"/>
      <w:u w:val="single"/>
    </w:rPr>
  </w:style>
  <w:style w:type="character" w:styleId="Rvts44" w:customStyle="1">
    <w:name w:val="rvts44"/>
    <w:basedOn w:val="DefaultParagraphFont"/>
    <w:qFormat/>
    <w:rsid w:val="00bb5479"/>
    <w:rPr/>
  </w:style>
  <w:style w:type="character" w:styleId="Appleconvertedspace" w:customStyle="1">
    <w:name w:val="apple-converted-space"/>
    <w:basedOn w:val="DefaultParagraphFont"/>
    <w:qFormat/>
    <w:rsid w:val="00bb5479"/>
    <w:rPr/>
  </w:style>
  <w:style w:type="character" w:styleId="FontStyle13" w:customStyle="1">
    <w:name w:val="Font Style13"/>
    <w:qFormat/>
    <w:rsid w:val="00b124e7"/>
    <w:rPr>
      <w:rFonts w:ascii="Times New Roman" w:hAnsi="Times New Roman" w:cs="Times New Roman"/>
      <w:color w:val="000000"/>
      <w:sz w:val="26"/>
      <w:szCs w:val="26"/>
    </w:rPr>
  </w:style>
  <w:style w:type="character" w:styleId="Rvts15" w:customStyle="1">
    <w:name w:val="rvts15"/>
    <w:qFormat/>
    <w:rsid w:val="00b124e7"/>
    <w:rPr/>
  </w:style>
  <w:style w:type="character" w:styleId="HTML" w:customStyle="1">
    <w:name w:val="Стандартный HTML Знак"/>
    <w:basedOn w:val="DefaultParagraphFont"/>
    <w:link w:val="HTML"/>
    <w:uiPriority w:val="99"/>
    <w:qFormat/>
    <w:rsid w:val="00b124e7"/>
    <w:rPr>
      <w:rFonts w:ascii="Courier New" w:hAnsi="Courier New" w:cs="Courier New"/>
    </w:rPr>
  </w:style>
  <w:style w:type="character" w:styleId="Style15" w:customStyle="1">
    <w:name w:val="Основной текст с отступом Знак"/>
    <w:basedOn w:val="DefaultParagraphFont"/>
    <w:link w:val="af6"/>
    <w:qFormat/>
    <w:rsid w:val="00de5ebe"/>
    <w:rPr>
      <w:sz w:val="24"/>
      <w:szCs w:val="24"/>
      <w:lang w:val="uk-UA" w:eastAsia="zh-CN"/>
    </w:rPr>
  </w:style>
  <w:style w:type="character" w:styleId="Rvts11" w:customStyle="1">
    <w:name w:val="rvts11"/>
    <w:basedOn w:val="DefaultParagraphFont"/>
    <w:qFormat/>
    <w:rsid w:val="00de5ebe"/>
    <w:rPr/>
  </w:style>
  <w:style w:type="character" w:styleId="UnresolvedMention">
    <w:name w:val="Unresolved Mention"/>
    <w:basedOn w:val="DefaultParagraphFont"/>
    <w:uiPriority w:val="99"/>
    <w:semiHidden/>
    <w:unhideWhenUsed/>
    <w:qFormat/>
    <w:rsid w:val="00a905d6"/>
    <w:rPr>
      <w:color w:val="605E5C"/>
      <w:shd w:fill="E1DFDD" w:val="clear"/>
    </w:rPr>
  </w:style>
  <w:style w:type="character" w:styleId="Fontstyle01" w:customStyle="1">
    <w:name w:val="fontstyle01"/>
    <w:basedOn w:val="DefaultParagraphFont"/>
    <w:qFormat/>
    <w:rsid w:val="00ff6843"/>
    <w:rPr>
      <w:rFonts w:ascii="TimesNewRoman" w:hAnsi="TimesNewRoman"/>
      <w:b w:val="false"/>
      <w:bCs w:val="false"/>
      <w:i w:val="false"/>
      <w:iCs w:val="false"/>
      <w:color w:val="000000"/>
      <w:sz w:val="28"/>
      <w:szCs w:val="28"/>
    </w:rPr>
  </w:style>
  <w:style w:type="character" w:styleId="ListLabel1">
    <w:name w:val="ListLabel 1"/>
    <w:qFormat/>
    <w:rPr>
      <w:rFonts w:eastAsia="Times New Roman" w:cs="Times New Roman"/>
      <w:color w:val="000000"/>
      <w:sz w:val="28"/>
      <w:szCs w:val="28"/>
      <w:lang w:val="uk-UA"/>
    </w:rPr>
  </w:style>
  <w:style w:type="character" w:styleId="ListLabel2">
    <w:name w:val="ListLabel 2"/>
    <w:qFormat/>
    <w:rPr>
      <w:rFonts w:eastAsia="Times New Roman" w:cs="Times New Roman"/>
      <w:color w:val="000000"/>
      <w:sz w:val="28"/>
      <w:szCs w:val="28"/>
      <w:lang w:val="uk-UA"/>
    </w:rPr>
  </w:style>
  <w:style w:type="character" w:styleId="ListLabel3">
    <w:name w:val="ListLabel 3"/>
    <w:qFormat/>
    <w:rPr>
      <w:rFonts w:eastAsia="Times New Roman" w:cs="Times New Roman"/>
      <w:color w:val="000000"/>
      <w:sz w:val="28"/>
      <w:szCs w:val="28"/>
      <w:lang w:val="uk-UA"/>
    </w:rPr>
  </w:style>
  <w:style w:type="character" w:styleId="ListLabel4">
    <w:name w:val="ListLabel 4"/>
    <w:qFormat/>
    <w:rPr>
      <w:rFonts w:eastAsia="Times New Roman" w:cs="Times New Roman"/>
      <w:color w:val="000000"/>
      <w:sz w:val="28"/>
      <w:szCs w:val="28"/>
      <w:lang w:val="uk-UA"/>
    </w:rPr>
  </w:style>
  <w:style w:type="character" w:styleId="ListLabel5">
    <w:name w:val="ListLabel 5"/>
    <w:qFormat/>
    <w:rPr>
      <w:rFonts w:eastAsia="Times New Roman" w:cs="Times New Roman"/>
      <w:color w:val="000000"/>
      <w:sz w:val="28"/>
      <w:szCs w:val="28"/>
      <w:lang w:val="uk-UA"/>
    </w:rPr>
  </w:style>
  <w:style w:type="character" w:styleId="ListLabel6">
    <w:name w:val="ListLabel 6"/>
    <w:qFormat/>
    <w:rPr>
      <w:rFonts w:eastAsia="Times New Roman" w:cs="Times New Roman"/>
      <w:color w:val="000000"/>
      <w:sz w:val="28"/>
      <w:szCs w:val="28"/>
      <w:lang w:val="uk-UA"/>
    </w:rPr>
  </w:style>
  <w:style w:type="character" w:styleId="ListLabel7">
    <w:name w:val="ListLabel 7"/>
    <w:qFormat/>
    <w:rPr>
      <w:rFonts w:eastAsia="Times New Roman" w:cs="Times New Roman"/>
      <w:color w:val="000000"/>
      <w:sz w:val="28"/>
      <w:szCs w:val="28"/>
      <w:lang w:val="uk-UA"/>
    </w:rPr>
  </w:style>
  <w:style w:type="character" w:styleId="ListLabel8">
    <w:name w:val="ListLabel 8"/>
    <w:qFormat/>
    <w:rPr>
      <w:rFonts w:eastAsia="Times New Roman" w:cs="Times New Roman"/>
      <w:color w:val="000000"/>
      <w:sz w:val="28"/>
      <w:szCs w:val="28"/>
      <w:lang w:val="uk-UA"/>
    </w:rPr>
  </w:style>
  <w:style w:type="character" w:styleId="ListLabel9">
    <w:name w:val="ListLabel 9"/>
    <w:qFormat/>
    <w:rPr>
      <w:rFonts w:eastAsia="Times New Roman" w:cs="Times New Roman"/>
      <w:color w:val="000000"/>
      <w:sz w:val="28"/>
      <w:szCs w:val="28"/>
      <w:lang w:val="uk-UA"/>
    </w:rPr>
  </w:style>
  <w:style w:type="character" w:styleId="ListLabel10">
    <w:name w:val="ListLabel 10"/>
    <w:qFormat/>
    <w:rPr>
      <w:rFonts w:eastAsia="Times New Roman"/>
      <w:color w:val="000000"/>
      <w:sz w:val="28"/>
      <w:szCs w:val="28"/>
      <w:lang w:val="uk-UA"/>
    </w:rPr>
  </w:style>
  <w:style w:type="character" w:styleId="ListLabel11">
    <w:name w:val="ListLabel 11"/>
    <w:qFormat/>
    <w:rPr>
      <w:rFonts w:eastAsia="Times New Roman"/>
      <w:color w:val="000000"/>
      <w:sz w:val="28"/>
      <w:szCs w:val="28"/>
      <w:lang w:val="uk-UA"/>
    </w:rPr>
  </w:style>
  <w:style w:type="character" w:styleId="ListLabel12">
    <w:name w:val="ListLabel 12"/>
    <w:qFormat/>
    <w:rPr>
      <w:rFonts w:eastAsia="Times New Roman"/>
      <w:color w:val="000000"/>
      <w:sz w:val="28"/>
      <w:szCs w:val="28"/>
      <w:lang w:val="uk-UA"/>
    </w:rPr>
  </w:style>
  <w:style w:type="character" w:styleId="ListLabel13">
    <w:name w:val="ListLabel 13"/>
    <w:qFormat/>
    <w:rPr>
      <w:rFonts w:eastAsia="Times New Roman"/>
      <w:color w:val="000000"/>
      <w:sz w:val="28"/>
      <w:szCs w:val="28"/>
      <w:lang w:val="uk-UA"/>
    </w:rPr>
  </w:style>
  <w:style w:type="character" w:styleId="ListLabel14">
    <w:name w:val="ListLabel 14"/>
    <w:qFormat/>
    <w:rPr>
      <w:rFonts w:eastAsia="Times New Roman"/>
      <w:color w:val="000000"/>
      <w:sz w:val="28"/>
      <w:szCs w:val="28"/>
      <w:lang w:val="uk-UA"/>
    </w:rPr>
  </w:style>
  <w:style w:type="character" w:styleId="ListLabel15">
    <w:name w:val="ListLabel 15"/>
    <w:qFormat/>
    <w:rPr>
      <w:rFonts w:eastAsia="Times New Roman"/>
      <w:color w:val="000000"/>
      <w:sz w:val="28"/>
      <w:szCs w:val="28"/>
      <w:lang w:val="uk-UA"/>
    </w:rPr>
  </w:style>
  <w:style w:type="character" w:styleId="ListLabel16">
    <w:name w:val="ListLabel 16"/>
    <w:qFormat/>
    <w:rPr>
      <w:rFonts w:eastAsia="Times New Roman"/>
      <w:color w:val="000000"/>
      <w:sz w:val="28"/>
      <w:szCs w:val="28"/>
      <w:lang w:val="uk-UA"/>
    </w:rPr>
  </w:style>
  <w:style w:type="character" w:styleId="ListLabel17">
    <w:name w:val="ListLabel 17"/>
    <w:qFormat/>
    <w:rPr>
      <w:rFonts w:eastAsia="Times New Roman"/>
      <w:color w:val="000000"/>
      <w:sz w:val="28"/>
      <w:szCs w:val="28"/>
      <w:lang w:val="uk-UA"/>
    </w:rPr>
  </w:style>
  <w:style w:type="character" w:styleId="ListLabel18">
    <w:name w:val="ListLabel 18"/>
    <w:qFormat/>
    <w:rPr>
      <w:rFonts w:eastAsia="Times New Roman"/>
      <w:color w:val="000000"/>
      <w:sz w:val="28"/>
      <w:szCs w:val="28"/>
      <w:lang w:val="uk-UA"/>
    </w:rPr>
  </w:style>
  <w:style w:type="character" w:styleId="ListLabel19">
    <w:name w:val="ListLabel 19"/>
    <w:qFormat/>
    <w:rPr>
      <w:rFonts w:eastAsia="Times New Roman" w:cs="Times New Roman"/>
      <w:b w:val="false"/>
      <w:bCs w:val="false"/>
      <w:color w:val="000000"/>
      <w:sz w:val="28"/>
      <w:szCs w:val="28"/>
      <w:lang w:val="uk-UA"/>
    </w:rPr>
  </w:style>
  <w:style w:type="character" w:styleId="ListLabel20">
    <w:name w:val="ListLabel 20"/>
    <w:qFormat/>
    <w:rPr>
      <w:rFonts w:eastAsia="Times New Roman" w:cs="Times New Roman"/>
      <w:b w:val="false"/>
      <w:bCs w:val="false"/>
      <w:color w:val="000000"/>
      <w:sz w:val="28"/>
      <w:szCs w:val="28"/>
      <w:lang w:val="uk-UA"/>
    </w:rPr>
  </w:style>
  <w:style w:type="character" w:styleId="ListLabel21">
    <w:name w:val="ListLabel 21"/>
    <w:qFormat/>
    <w:rPr>
      <w:rFonts w:eastAsia="Times New Roman" w:cs="Times New Roman"/>
      <w:b w:val="false"/>
      <w:bCs w:val="false"/>
      <w:color w:val="000000"/>
      <w:sz w:val="28"/>
      <w:szCs w:val="28"/>
      <w:lang w:val="uk-UA"/>
    </w:rPr>
  </w:style>
  <w:style w:type="character" w:styleId="ListLabel22">
    <w:name w:val="ListLabel 22"/>
    <w:qFormat/>
    <w:rPr>
      <w:rFonts w:eastAsia="Times New Roman" w:cs="Times New Roman"/>
      <w:b w:val="false"/>
      <w:bCs w:val="false"/>
      <w:color w:val="000000"/>
      <w:sz w:val="28"/>
      <w:szCs w:val="28"/>
      <w:lang w:val="uk-UA"/>
    </w:rPr>
  </w:style>
  <w:style w:type="character" w:styleId="ListLabel23">
    <w:name w:val="ListLabel 23"/>
    <w:qFormat/>
    <w:rPr>
      <w:rFonts w:eastAsia="Times New Roman" w:cs="Times New Roman"/>
      <w:b w:val="false"/>
      <w:bCs w:val="false"/>
      <w:color w:val="000000"/>
      <w:sz w:val="28"/>
      <w:szCs w:val="28"/>
      <w:lang w:val="uk-UA"/>
    </w:rPr>
  </w:style>
  <w:style w:type="character" w:styleId="ListLabel24">
    <w:name w:val="ListLabel 24"/>
    <w:qFormat/>
    <w:rPr>
      <w:rFonts w:eastAsia="Times New Roman" w:cs="Times New Roman"/>
      <w:b w:val="false"/>
      <w:bCs w:val="false"/>
      <w:color w:val="000000"/>
      <w:sz w:val="28"/>
      <w:szCs w:val="28"/>
      <w:lang w:val="uk-UA"/>
    </w:rPr>
  </w:style>
  <w:style w:type="character" w:styleId="ListLabel25">
    <w:name w:val="ListLabel 25"/>
    <w:qFormat/>
    <w:rPr>
      <w:rFonts w:eastAsia="Times New Roman" w:cs="Times New Roman"/>
      <w:b w:val="false"/>
      <w:bCs w:val="false"/>
      <w:color w:val="000000"/>
      <w:sz w:val="28"/>
      <w:szCs w:val="28"/>
      <w:lang w:val="uk-UA"/>
    </w:rPr>
  </w:style>
  <w:style w:type="character" w:styleId="ListLabel26">
    <w:name w:val="ListLabel 26"/>
    <w:qFormat/>
    <w:rPr>
      <w:rFonts w:eastAsia="Times New Roman" w:cs="Times New Roman"/>
      <w:b w:val="false"/>
      <w:bCs w:val="false"/>
      <w:color w:val="000000"/>
      <w:sz w:val="28"/>
      <w:szCs w:val="28"/>
      <w:lang w:val="uk-UA"/>
    </w:rPr>
  </w:style>
  <w:style w:type="character" w:styleId="ListLabel27">
    <w:name w:val="ListLabel 27"/>
    <w:qFormat/>
    <w:rPr>
      <w:rFonts w:eastAsia="Times New Roman" w:cs="Times New Roman"/>
      <w:b w:val="false"/>
      <w:bCs w:val="false"/>
      <w:color w:val="000000"/>
      <w:sz w:val="28"/>
      <w:szCs w:val="28"/>
      <w:lang w:val="uk-UA"/>
    </w:rPr>
  </w:style>
  <w:style w:type="character" w:styleId="ListLabel28">
    <w:name w:val="ListLabel 28"/>
    <w:qFormat/>
    <w:rPr>
      <w:rFonts w:eastAsia="Times New Roman" w:cs="OpenSymbol"/>
      <w:color w:val="000000"/>
      <w:sz w:val="28"/>
      <w:szCs w:val="28"/>
      <w:lang w:val="uk-UA"/>
    </w:rPr>
  </w:style>
  <w:style w:type="character" w:styleId="ListLabel29">
    <w:name w:val="ListLabel 29"/>
    <w:qFormat/>
    <w:rPr>
      <w:rFonts w:eastAsia="Times New Roman" w:cs="OpenSymbol"/>
      <w:color w:val="000000"/>
      <w:sz w:val="28"/>
      <w:szCs w:val="28"/>
      <w:lang w:val="uk-UA"/>
    </w:rPr>
  </w:style>
  <w:style w:type="character" w:styleId="ListLabel30">
    <w:name w:val="ListLabel 30"/>
    <w:qFormat/>
    <w:rPr>
      <w:rFonts w:eastAsia="Times New Roman" w:cs="OpenSymbol"/>
      <w:color w:val="000000"/>
      <w:sz w:val="28"/>
      <w:szCs w:val="28"/>
      <w:lang w:val="uk-UA"/>
    </w:rPr>
  </w:style>
  <w:style w:type="character" w:styleId="ListLabel31">
    <w:name w:val="ListLabel 31"/>
    <w:qFormat/>
    <w:rPr>
      <w:rFonts w:eastAsia="Times New Roman" w:cs="OpenSymbol"/>
      <w:color w:val="000000"/>
      <w:sz w:val="28"/>
      <w:szCs w:val="28"/>
      <w:lang w:val="uk-UA"/>
    </w:rPr>
  </w:style>
  <w:style w:type="character" w:styleId="ListLabel32">
    <w:name w:val="ListLabel 32"/>
    <w:qFormat/>
    <w:rPr>
      <w:rFonts w:eastAsia="Times New Roman" w:cs="OpenSymbol"/>
      <w:color w:val="000000"/>
      <w:sz w:val="28"/>
      <w:szCs w:val="28"/>
      <w:lang w:val="uk-UA"/>
    </w:rPr>
  </w:style>
  <w:style w:type="character" w:styleId="ListLabel33">
    <w:name w:val="ListLabel 33"/>
    <w:qFormat/>
    <w:rPr>
      <w:rFonts w:eastAsia="Times New Roman" w:cs="OpenSymbol"/>
      <w:color w:val="000000"/>
      <w:sz w:val="28"/>
      <w:szCs w:val="28"/>
      <w:lang w:val="uk-UA"/>
    </w:rPr>
  </w:style>
  <w:style w:type="character" w:styleId="ListLabel34">
    <w:name w:val="ListLabel 34"/>
    <w:qFormat/>
    <w:rPr>
      <w:rFonts w:eastAsia="Times New Roman" w:cs="OpenSymbol"/>
      <w:color w:val="000000"/>
      <w:sz w:val="28"/>
      <w:szCs w:val="28"/>
      <w:lang w:val="uk-UA"/>
    </w:rPr>
  </w:style>
  <w:style w:type="character" w:styleId="ListLabel35">
    <w:name w:val="ListLabel 35"/>
    <w:qFormat/>
    <w:rPr>
      <w:rFonts w:eastAsia="Times New Roman" w:cs="OpenSymbol"/>
      <w:color w:val="000000"/>
      <w:sz w:val="28"/>
      <w:szCs w:val="28"/>
      <w:lang w:val="uk-UA"/>
    </w:rPr>
  </w:style>
  <w:style w:type="character" w:styleId="ListLabel36">
    <w:name w:val="ListLabel 36"/>
    <w:qFormat/>
    <w:rPr>
      <w:rFonts w:eastAsia="Times New Roman" w:cs="OpenSymbol"/>
      <w:color w:val="000000"/>
      <w:sz w:val="28"/>
      <w:szCs w:val="28"/>
      <w:lang w:val="uk-UA"/>
    </w:rPr>
  </w:style>
  <w:style w:type="character" w:styleId="ListLabel37">
    <w:name w:val="ListLabel 37"/>
    <w:qFormat/>
    <w:rPr>
      <w:rFonts w:eastAsia="Times New Roman" w:cs="OpenSymbol"/>
      <w:color w:val="000000"/>
      <w:sz w:val="28"/>
      <w:szCs w:val="28"/>
      <w:lang w:val="uk-UA"/>
    </w:rPr>
  </w:style>
  <w:style w:type="character" w:styleId="ListLabel38">
    <w:name w:val="ListLabel 38"/>
    <w:qFormat/>
    <w:rPr>
      <w:rFonts w:eastAsia="Times New Roman" w:cs="OpenSymbol"/>
      <w:color w:val="000000"/>
      <w:sz w:val="28"/>
      <w:szCs w:val="28"/>
      <w:lang w:val="uk-UA"/>
    </w:rPr>
  </w:style>
  <w:style w:type="character" w:styleId="ListLabel39">
    <w:name w:val="ListLabel 39"/>
    <w:qFormat/>
    <w:rPr>
      <w:rFonts w:eastAsia="Times New Roman" w:cs="OpenSymbol"/>
      <w:color w:val="000000"/>
      <w:sz w:val="28"/>
      <w:szCs w:val="28"/>
      <w:lang w:val="uk-UA"/>
    </w:rPr>
  </w:style>
  <w:style w:type="character" w:styleId="ListLabel40">
    <w:name w:val="ListLabel 40"/>
    <w:qFormat/>
    <w:rPr>
      <w:rFonts w:eastAsia="Times New Roman" w:cs="OpenSymbol"/>
      <w:color w:val="000000"/>
      <w:sz w:val="28"/>
      <w:szCs w:val="28"/>
      <w:lang w:val="uk-UA"/>
    </w:rPr>
  </w:style>
  <w:style w:type="character" w:styleId="ListLabel41">
    <w:name w:val="ListLabel 41"/>
    <w:qFormat/>
    <w:rPr>
      <w:rFonts w:eastAsia="Times New Roman" w:cs="OpenSymbol"/>
      <w:color w:val="000000"/>
      <w:sz w:val="28"/>
      <w:szCs w:val="28"/>
      <w:lang w:val="uk-UA"/>
    </w:rPr>
  </w:style>
  <w:style w:type="character" w:styleId="ListLabel42">
    <w:name w:val="ListLabel 42"/>
    <w:qFormat/>
    <w:rPr>
      <w:rFonts w:eastAsia="Times New Roman" w:cs="OpenSymbol"/>
      <w:color w:val="000000"/>
      <w:sz w:val="28"/>
      <w:szCs w:val="28"/>
      <w:lang w:val="uk-UA"/>
    </w:rPr>
  </w:style>
  <w:style w:type="character" w:styleId="ListLabel43">
    <w:name w:val="ListLabel 43"/>
    <w:qFormat/>
    <w:rPr>
      <w:rFonts w:eastAsia="Times New Roman" w:cs="OpenSymbol"/>
      <w:color w:val="000000"/>
      <w:sz w:val="28"/>
      <w:szCs w:val="28"/>
      <w:lang w:val="uk-UA"/>
    </w:rPr>
  </w:style>
  <w:style w:type="character" w:styleId="ListLabel44">
    <w:name w:val="ListLabel 44"/>
    <w:qFormat/>
    <w:rPr>
      <w:rFonts w:eastAsia="Times New Roman" w:cs="OpenSymbol"/>
      <w:color w:val="000000"/>
      <w:sz w:val="28"/>
      <w:szCs w:val="28"/>
      <w:lang w:val="uk-UA"/>
    </w:rPr>
  </w:style>
  <w:style w:type="character" w:styleId="ListLabel45">
    <w:name w:val="ListLabel 45"/>
    <w:qFormat/>
    <w:rPr>
      <w:rFonts w:eastAsia="Times New Roman" w:cs="OpenSymbol"/>
      <w:color w:val="000000"/>
      <w:sz w:val="28"/>
      <w:szCs w:val="28"/>
      <w:lang w:val="uk-UA"/>
    </w:rPr>
  </w:style>
  <w:style w:type="character" w:styleId="ListLabel46">
    <w:name w:val="ListLabel 46"/>
    <w:qFormat/>
    <w:rPr>
      <w:rFonts w:eastAsia="Times New Roman" w:cs="Times New Roman"/>
      <w:color w:val="000000"/>
      <w:sz w:val="28"/>
      <w:szCs w:val="28"/>
      <w:lang w:val="uk-UA"/>
    </w:rPr>
  </w:style>
  <w:style w:type="character" w:styleId="ListLabel47">
    <w:name w:val="ListLabel 47"/>
    <w:qFormat/>
    <w:rPr>
      <w:rFonts w:eastAsia="Times New Roman" w:cs="Times New Roman"/>
      <w:color w:val="000000"/>
      <w:sz w:val="28"/>
      <w:szCs w:val="28"/>
      <w:lang w:val="uk-UA"/>
    </w:rPr>
  </w:style>
  <w:style w:type="character" w:styleId="ListLabel48">
    <w:name w:val="ListLabel 48"/>
    <w:qFormat/>
    <w:rPr>
      <w:rFonts w:eastAsia="Times New Roman" w:cs="Times New Roman"/>
      <w:color w:val="000000"/>
      <w:sz w:val="28"/>
      <w:szCs w:val="28"/>
      <w:lang w:val="uk-UA"/>
    </w:rPr>
  </w:style>
  <w:style w:type="character" w:styleId="ListLabel49">
    <w:name w:val="ListLabel 49"/>
    <w:qFormat/>
    <w:rPr>
      <w:rFonts w:eastAsia="Times New Roman" w:cs="Times New Roman"/>
      <w:color w:val="000000"/>
      <w:sz w:val="28"/>
      <w:szCs w:val="28"/>
      <w:lang w:val="uk-UA"/>
    </w:rPr>
  </w:style>
  <w:style w:type="character" w:styleId="ListLabel50">
    <w:name w:val="ListLabel 50"/>
    <w:qFormat/>
    <w:rPr>
      <w:rFonts w:eastAsia="Times New Roman" w:cs="Times New Roman"/>
      <w:color w:val="000000"/>
      <w:sz w:val="28"/>
      <w:szCs w:val="28"/>
      <w:lang w:val="uk-UA"/>
    </w:rPr>
  </w:style>
  <w:style w:type="character" w:styleId="ListLabel51">
    <w:name w:val="ListLabel 51"/>
    <w:qFormat/>
    <w:rPr>
      <w:rFonts w:eastAsia="Times New Roman" w:cs="Times New Roman"/>
      <w:color w:val="000000"/>
      <w:sz w:val="28"/>
      <w:szCs w:val="28"/>
      <w:lang w:val="uk-UA"/>
    </w:rPr>
  </w:style>
  <w:style w:type="character" w:styleId="ListLabel52">
    <w:name w:val="ListLabel 52"/>
    <w:qFormat/>
    <w:rPr>
      <w:rFonts w:eastAsia="Times New Roman" w:cs="Times New Roman"/>
      <w:color w:val="000000"/>
      <w:sz w:val="28"/>
      <w:szCs w:val="28"/>
      <w:lang w:val="uk-UA"/>
    </w:rPr>
  </w:style>
  <w:style w:type="character" w:styleId="ListLabel53">
    <w:name w:val="ListLabel 53"/>
    <w:qFormat/>
    <w:rPr>
      <w:rFonts w:eastAsia="Times New Roman" w:cs="Times New Roman"/>
      <w:color w:val="000000"/>
      <w:sz w:val="28"/>
      <w:szCs w:val="28"/>
      <w:lang w:val="uk-UA"/>
    </w:rPr>
  </w:style>
  <w:style w:type="character" w:styleId="ListLabel54">
    <w:name w:val="ListLabel 54"/>
    <w:qFormat/>
    <w:rPr>
      <w:rFonts w:eastAsia="Times New Roman" w:cs="Times New Roman"/>
      <w:color w:val="000000"/>
      <w:sz w:val="28"/>
      <w:szCs w:val="28"/>
      <w:lang w:val="uk-UA"/>
    </w:rPr>
  </w:style>
  <w:style w:type="character" w:styleId="ListLabel55">
    <w:name w:val="ListLabel 55"/>
    <w:qFormat/>
    <w:rPr>
      <w:rFonts w:eastAsia="Times New Roman"/>
      <w:color w:val="000000"/>
      <w:sz w:val="28"/>
      <w:szCs w:val="28"/>
      <w:lang w:val="uk-UA"/>
    </w:rPr>
  </w:style>
  <w:style w:type="character" w:styleId="ListLabel56">
    <w:name w:val="ListLabel 56"/>
    <w:qFormat/>
    <w:rPr>
      <w:rFonts w:eastAsia="Times New Roman"/>
      <w:color w:val="000000"/>
      <w:sz w:val="28"/>
      <w:szCs w:val="28"/>
      <w:lang w:val="uk-UA"/>
    </w:rPr>
  </w:style>
  <w:style w:type="character" w:styleId="ListLabel57">
    <w:name w:val="ListLabel 57"/>
    <w:qFormat/>
    <w:rPr>
      <w:rFonts w:eastAsia="Times New Roman"/>
      <w:color w:val="000000"/>
      <w:sz w:val="28"/>
      <w:szCs w:val="28"/>
      <w:lang w:val="uk-UA"/>
    </w:rPr>
  </w:style>
  <w:style w:type="character" w:styleId="ListLabel58">
    <w:name w:val="ListLabel 58"/>
    <w:qFormat/>
    <w:rPr>
      <w:rFonts w:eastAsia="Times New Roman"/>
      <w:color w:val="000000"/>
      <w:sz w:val="28"/>
      <w:szCs w:val="28"/>
      <w:lang w:val="uk-UA"/>
    </w:rPr>
  </w:style>
  <w:style w:type="character" w:styleId="ListLabel59">
    <w:name w:val="ListLabel 59"/>
    <w:qFormat/>
    <w:rPr>
      <w:rFonts w:eastAsia="Times New Roman"/>
      <w:color w:val="000000"/>
      <w:sz w:val="28"/>
      <w:szCs w:val="28"/>
      <w:lang w:val="uk-UA"/>
    </w:rPr>
  </w:style>
  <w:style w:type="character" w:styleId="ListLabel60">
    <w:name w:val="ListLabel 60"/>
    <w:qFormat/>
    <w:rPr>
      <w:rFonts w:eastAsia="Times New Roman"/>
      <w:color w:val="000000"/>
      <w:sz w:val="28"/>
      <w:szCs w:val="28"/>
      <w:lang w:val="uk-UA"/>
    </w:rPr>
  </w:style>
  <w:style w:type="character" w:styleId="ListLabel61">
    <w:name w:val="ListLabel 61"/>
    <w:qFormat/>
    <w:rPr>
      <w:rFonts w:eastAsia="Times New Roman"/>
      <w:color w:val="000000"/>
      <w:sz w:val="28"/>
      <w:szCs w:val="28"/>
      <w:lang w:val="uk-UA"/>
    </w:rPr>
  </w:style>
  <w:style w:type="character" w:styleId="ListLabel62">
    <w:name w:val="ListLabel 62"/>
    <w:qFormat/>
    <w:rPr>
      <w:rFonts w:eastAsia="Times New Roman"/>
      <w:color w:val="000000"/>
      <w:sz w:val="28"/>
      <w:szCs w:val="28"/>
      <w:lang w:val="uk-UA"/>
    </w:rPr>
  </w:style>
  <w:style w:type="character" w:styleId="ListLabel63">
    <w:name w:val="ListLabel 63"/>
    <w:qFormat/>
    <w:rPr>
      <w:rFonts w:eastAsia="Times New Roman"/>
      <w:color w:val="000000"/>
      <w:sz w:val="28"/>
      <w:szCs w:val="28"/>
      <w:lang w:val="uk-UA"/>
    </w:rPr>
  </w:style>
  <w:style w:type="character" w:styleId="ListLabel64">
    <w:name w:val="ListLabel 64"/>
    <w:qFormat/>
    <w:rPr>
      <w:rFonts w:eastAsia="Times New Roman" w:cs="Times New Roman"/>
      <w:b w:val="false"/>
      <w:bCs w:val="false"/>
      <w:color w:val="000000"/>
      <w:sz w:val="28"/>
      <w:szCs w:val="28"/>
      <w:lang w:val="uk-UA"/>
    </w:rPr>
  </w:style>
  <w:style w:type="character" w:styleId="ListLabel65">
    <w:name w:val="ListLabel 65"/>
    <w:qFormat/>
    <w:rPr>
      <w:rFonts w:eastAsia="Times New Roman" w:cs="Times New Roman"/>
      <w:b w:val="false"/>
      <w:bCs w:val="false"/>
      <w:color w:val="000000"/>
      <w:sz w:val="28"/>
      <w:szCs w:val="28"/>
      <w:lang w:val="uk-UA"/>
    </w:rPr>
  </w:style>
  <w:style w:type="character" w:styleId="ListLabel66">
    <w:name w:val="ListLabel 66"/>
    <w:qFormat/>
    <w:rPr>
      <w:rFonts w:eastAsia="Times New Roman" w:cs="Times New Roman"/>
      <w:b w:val="false"/>
      <w:bCs w:val="false"/>
      <w:color w:val="000000"/>
      <w:sz w:val="28"/>
      <w:szCs w:val="28"/>
      <w:lang w:val="uk-UA"/>
    </w:rPr>
  </w:style>
  <w:style w:type="character" w:styleId="ListLabel67">
    <w:name w:val="ListLabel 67"/>
    <w:qFormat/>
    <w:rPr>
      <w:rFonts w:eastAsia="Times New Roman" w:cs="Times New Roman"/>
      <w:b w:val="false"/>
      <w:bCs w:val="false"/>
      <w:color w:val="000000"/>
      <w:sz w:val="28"/>
      <w:szCs w:val="28"/>
      <w:lang w:val="uk-UA"/>
    </w:rPr>
  </w:style>
  <w:style w:type="character" w:styleId="ListLabel68">
    <w:name w:val="ListLabel 68"/>
    <w:qFormat/>
    <w:rPr>
      <w:rFonts w:eastAsia="Times New Roman" w:cs="Times New Roman"/>
      <w:b w:val="false"/>
      <w:bCs w:val="false"/>
      <w:color w:val="000000"/>
      <w:sz w:val="28"/>
      <w:szCs w:val="28"/>
      <w:lang w:val="uk-UA"/>
    </w:rPr>
  </w:style>
  <w:style w:type="character" w:styleId="ListLabel69">
    <w:name w:val="ListLabel 69"/>
    <w:qFormat/>
    <w:rPr>
      <w:rFonts w:eastAsia="Times New Roman" w:cs="Times New Roman"/>
      <w:b w:val="false"/>
      <w:bCs w:val="false"/>
      <w:color w:val="000000"/>
      <w:sz w:val="28"/>
      <w:szCs w:val="28"/>
      <w:lang w:val="uk-UA"/>
    </w:rPr>
  </w:style>
  <w:style w:type="character" w:styleId="ListLabel70">
    <w:name w:val="ListLabel 70"/>
    <w:qFormat/>
    <w:rPr>
      <w:rFonts w:eastAsia="Times New Roman" w:cs="Times New Roman"/>
      <w:b w:val="false"/>
      <w:bCs w:val="false"/>
      <w:color w:val="000000"/>
      <w:sz w:val="28"/>
      <w:szCs w:val="28"/>
      <w:lang w:val="uk-UA"/>
    </w:rPr>
  </w:style>
  <w:style w:type="character" w:styleId="ListLabel71">
    <w:name w:val="ListLabel 71"/>
    <w:qFormat/>
    <w:rPr>
      <w:rFonts w:eastAsia="Times New Roman" w:cs="Times New Roman"/>
      <w:b w:val="false"/>
      <w:bCs w:val="false"/>
      <w:color w:val="000000"/>
      <w:sz w:val="28"/>
      <w:szCs w:val="28"/>
      <w:lang w:val="uk-UA"/>
    </w:rPr>
  </w:style>
  <w:style w:type="character" w:styleId="ListLabel72">
    <w:name w:val="ListLabel 72"/>
    <w:qFormat/>
    <w:rPr>
      <w:rFonts w:eastAsia="Times New Roman" w:cs="Times New Roman"/>
      <w:b w:val="false"/>
      <w:bCs w:val="false"/>
      <w:color w:val="000000"/>
      <w:sz w:val="28"/>
      <w:szCs w:val="28"/>
      <w:lang w:val="uk-UA"/>
    </w:rPr>
  </w:style>
  <w:style w:type="character" w:styleId="ListLabel73">
    <w:name w:val="ListLabel 73"/>
    <w:qFormat/>
    <w:rPr>
      <w:rFonts w:eastAsia="Times New Roman" w:cs="OpenSymbol"/>
      <w:color w:val="000000"/>
      <w:sz w:val="28"/>
      <w:szCs w:val="28"/>
      <w:lang w:val="uk-UA"/>
    </w:rPr>
  </w:style>
  <w:style w:type="character" w:styleId="ListLabel74">
    <w:name w:val="ListLabel 74"/>
    <w:qFormat/>
    <w:rPr>
      <w:rFonts w:eastAsia="Times New Roman" w:cs="OpenSymbol"/>
      <w:color w:val="000000"/>
      <w:sz w:val="28"/>
      <w:szCs w:val="28"/>
      <w:lang w:val="uk-UA"/>
    </w:rPr>
  </w:style>
  <w:style w:type="character" w:styleId="ListLabel75">
    <w:name w:val="ListLabel 75"/>
    <w:qFormat/>
    <w:rPr>
      <w:rFonts w:eastAsia="Times New Roman" w:cs="OpenSymbol"/>
      <w:color w:val="000000"/>
      <w:sz w:val="28"/>
      <w:szCs w:val="28"/>
      <w:lang w:val="uk-UA"/>
    </w:rPr>
  </w:style>
  <w:style w:type="character" w:styleId="ListLabel76">
    <w:name w:val="ListLabel 76"/>
    <w:qFormat/>
    <w:rPr>
      <w:rFonts w:eastAsia="Times New Roman" w:cs="OpenSymbol"/>
      <w:color w:val="000000"/>
      <w:sz w:val="28"/>
      <w:szCs w:val="28"/>
      <w:lang w:val="uk-UA"/>
    </w:rPr>
  </w:style>
  <w:style w:type="character" w:styleId="ListLabel77">
    <w:name w:val="ListLabel 77"/>
    <w:qFormat/>
    <w:rPr>
      <w:rFonts w:eastAsia="Times New Roman" w:cs="OpenSymbol"/>
      <w:color w:val="000000"/>
      <w:sz w:val="28"/>
      <w:szCs w:val="28"/>
      <w:lang w:val="uk-UA"/>
    </w:rPr>
  </w:style>
  <w:style w:type="character" w:styleId="ListLabel78">
    <w:name w:val="ListLabel 78"/>
    <w:qFormat/>
    <w:rPr>
      <w:rFonts w:eastAsia="Times New Roman" w:cs="OpenSymbol"/>
      <w:color w:val="000000"/>
      <w:sz w:val="28"/>
      <w:szCs w:val="28"/>
      <w:lang w:val="uk-UA"/>
    </w:rPr>
  </w:style>
  <w:style w:type="character" w:styleId="ListLabel79">
    <w:name w:val="ListLabel 79"/>
    <w:qFormat/>
    <w:rPr>
      <w:rFonts w:eastAsia="Times New Roman" w:cs="OpenSymbol"/>
      <w:color w:val="000000"/>
      <w:sz w:val="28"/>
      <w:szCs w:val="28"/>
      <w:lang w:val="uk-UA"/>
    </w:rPr>
  </w:style>
  <w:style w:type="character" w:styleId="ListLabel80">
    <w:name w:val="ListLabel 80"/>
    <w:qFormat/>
    <w:rPr>
      <w:rFonts w:eastAsia="Times New Roman" w:cs="OpenSymbol"/>
      <w:color w:val="000000"/>
      <w:sz w:val="28"/>
      <w:szCs w:val="28"/>
      <w:lang w:val="uk-UA"/>
    </w:rPr>
  </w:style>
  <w:style w:type="character" w:styleId="ListLabel81">
    <w:name w:val="ListLabel 81"/>
    <w:qFormat/>
    <w:rPr>
      <w:rFonts w:eastAsia="Times New Roman" w:cs="OpenSymbol"/>
      <w:color w:val="000000"/>
      <w:sz w:val="28"/>
      <w:szCs w:val="28"/>
      <w:lang w:val="uk-UA"/>
    </w:rPr>
  </w:style>
  <w:style w:type="character" w:styleId="ListLabel82">
    <w:name w:val="ListLabel 82"/>
    <w:qFormat/>
    <w:rPr>
      <w:rFonts w:eastAsia="Times New Roman" w:cs="OpenSymbol"/>
      <w:color w:val="000000"/>
      <w:sz w:val="28"/>
      <w:szCs w:val="28"/>
      <w:lang w:val="uk-UA"/>
    </w:rPr>
  </w:style>
  <w:style w:type="character" w:styleId="ListLabel83">
    <w:name w:val="ListLabel 83"/>
    <w:qFormat/>
    <w:rPr>
      <w:rFonts w:eastAsia="Times New Roman" w:cs="OpenSymbol"/>
      <w:color w:val="000000"/>
      <w:sz w:val="28"/>
      <w:szCs w:val="28"/>
      <w:lang w:val="uk-UA"/>
    </w:rPr>
  </w:style>
  <w:style w:type="character" w:styleId="ListLabel84">
    <w:name w:val="ListLabel 84"/>
    <w:qFormat/>
    <w:rPr>
      <w:rFonts w:eastAsia="Times New Roman" w:cs="OpenSymbol"/>
      <w:color w:val="000000"/>
      <w:sz w:val="28"/>
      <w:szCs w:val="28"/>
      <w:lang w:val="uk-UA"/>
    </w:rPr>
  </w:style>
  <w:style w:type="character" w:styleId="ListLabel85">
    <w:name w:val="ListLabel 85"/>
    <w:qFormat/>
    <w:rPr>
      <w:rFonts w:eastAsia="Times New Roman" w:cs="OpenSymbol"/>
      <w:color w:val="000000"/>
      <w:sz w:val="28"/>
      <w:szCs w:val="28"/>
      <w:lang w:val="uk-UA"/>
    </w:rPr>
  </w:style>
  <w:style w:type="character" w:styleId="ListLabel86">
    <w:name w:val="ListLabel 86"/>
    <w:qFormat/>
    <w:rPr>
      <w:rFonts w:eastAsia="Times New Roman" w:cs="OpenSymbol"/>
      <w:color w:val="000000"/>
      <w:sz w:val="28"/>
      <w:szCs w:val="28"/>
      <w:lang w:val="uk-UA"/>
    </w:rPr>
  </w:style>
  <w:style w:type="character" w:styleId="ListLabel87">
    <w:name w:val="ListLabel 87"/>
    <w:qFormat/>
    <w:rPr>
      <w:rFonts w:eastAsia="Times New Roman" w:cs="OpenSymbol"/>
      <w:color w:val="000000"/>
      <w:sz w:val="28"/>
      <w:szCs w:val="28"/>
      <w:lang w:val="uk-UA"/>
    </w:rPr>
  </w:style>
  <w:style w:type="character" w:styleId="ListLabel88">
    <w:name w:val="ListLabel 88"/>
    <w:qFormat/>
    <w:rPr>
      <w:rFonts w:eastAsia="Times New Roman" w:cs="OpenSymbol"/>
      <w:color w:val="000000"/>
      <w:sz w:val="28"/>
      <w:szCs w:val="28"/>
      <w:lang w:val="uk-UA"/>
    </w:rPr>
  </w:style>
  <w:style w:type="character" w:styleId="ListLabel89">
    <w:name w:val="ListLabel 89"/>
    <w:qFormat/>
    <w:rPr>
      <w:rFonts w:eastAsia="Times New Roman" w:cs="OpenSymbol"/>
      <w:color w:val="000000"/>
      <w:sz w:val="28"/>
      <w:szCs w:val="28"/>
      <w:lang w:val="uk-UA"/>
    </w:rPr>
  </w:style>
  <w:style w:type="character" w:styleId="ListLabel90">
    <w:name w:val="ListLabel 90"/>
    <w:qFormat/>
    <w:rPr>
      <w:rFonts w:eastAsia="Times New Roman" w:cs="OpenSymbol"/>
      <w:color w:val="000000"/>
      <w:sz w:val="28"/>
      <w:szCs w:val="28"/>
      <w:lang w:val="uk-UA"/>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rsid w:val="00093071"/>
    <w:pPr>
      <w:jc w:val="both"/>
    </w:pPr>
    <w:rPr>
      <w:sz w:val="26"/>
      <w:szCs w:val="20"/>
    </w:rPr>
  </w:style>
  <w:style w:type="paragraph" w:styleId="Style18">
    <w:name w:val="List"/>
    <w:basedOn w:val="Style17"/>
    <w:rsid w:val="00093071"/>
    <w:pPr/>
    <w:rPr>
      <w:rFonts w:cs="Lohit Hindi"/>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12" w:customStyle="1">
    <w:name w:val="Заголовок1"/>
    <w:basedOn w:val="Normal"/>
    <w:qFormat/>
    <w:rsid w:val="00093071"/>
    <w:pPr>
      <w:keepNext/>
      <w:spacing w:before="240" w:after="120"/>
    </w:pPr>
    <w:rPr>
      <w:rFonts w:ascii="Arial" w:hAnsi="Arial" w:eastAsia="Droid Sans Fallback" w:cs="Lohit Hindi"/>
      <w:sz w:val="28"/>
      <w:szCs w:val="28"/>
    </w:rPr>
  </w:style>
  <w:style w:type="paragraph" w:styleId="Caption">
    <w:name w:val="caption"/>
    <w:basedOn w:val="Normal"/>
    <w:qFormat/>
    <w:rsid w:val="00093071"/>
    <w:pPr>
      <w:suppressLineNumbers/>
      <w:spacing w:before="120" w:after="120"/>
    </w:pPr>
    <w:rPr>
      <w:rFonts w:cs="Mangal"/>
      <w:i/>
      <w:iCs/>
    </w:rPr>
  </w:style>
  <w:style w:type="paragraph" w:styleId="13" w:customStyle="1">
    <w:name w:val="Указатель1"/>
    <w:basedOn w:val="Normal"/>
    <w:qFormat/>
    <w:rsid w:val="00093071"/>
    <w:pPr>
      <w:suppressLineNumbers/>
    </w:pPr>
    <w:rPr>
      <w:rFonts w:cs="Mangal"/>
    </w:rPr>
  </w:style>
  <w:style w:type="paragraph" w:styleId="Style21" w:customStyle="1">
    <w:name w:val="Розділ"/>
    <w:basedOn w:val="Normal"/>
    <w:qFormat/>
    <w:rsid w:val="00093071"/>
    <w:pPr>
      <w:suppressLineNumbers/>
      <w:spacing w:before="120" w:after="120"/>
    </w:pPr>
    <w:rPr>
      <w:rFonts w:cs="Lohit Hindi"/>
      <w:i/>
      <w:iCs/>
    </w:rPr>
  </w:style>
  <w:style w:type="paragraph" w:styleId="Style22" w:customStyle="1">
    <w:name w:val="Покажчик"/>
    <w:basedOn w:val="Normal"/>
    <w:qFormat/>
    <w:rsid w:val="00093071"/>
    <w:pPr>
      <w:suppressLineNumbers/>
    </w:pPr>
    <w:rPr>
      <w:rFonts w:cs="Lohit Hindi"/>
    </w:rPr>
  </w:style>
  <w:style w:type="paragraph" w:styleId="Style23" w:customStyle="1">
    <w:name w:val="Знак"/>
    <w:basedOn w:val="Normal"/>
    <w:qFormat/>
    <w:rsid w:val="00093071"/>
    <w:pPr/>
    <w:rPr>
      <w:sz w:val="20"/>
      <w:szCs w:val="20"/>
      <w:lang w:val="en-US"/>
    </w:rPr>
  </w:style>
  <w:style w:type="paragraph" w:styleId="Style24" w:customStyle="1">
    <w:name w:val="Вміст таблиці"/>
    <w:basedOn w:val="Normal"/>
    <w:qFormat/>
    <w:rsid w:val="00093071"/>
    <w:pPr>
      <w:suppressLineNumbers/>
    </w:pPr>
    <w:rPr/>
  </w:style>
  <w:style w:type="paragraph" w:styleId="Style25" w:customStyle="1">
    <w:name w:val="Заголовок таблиці"/>
    <w:basedOn w:val="Style24"/>
    <w:qFormat/>
    <w:rsid w:val="00093071"/>
    <w:pPr>
      <w:jc w:val="center"/>
    </w:pPr>
    <w:rPr>
      <w:b/>
      <w:bCs/>
    </w:rPr>
  </w:style>
  <w:style w:type="paragraph" w:styleId="Style26" w:customStyle="1">
    <w:name w:val="Содержимое таблицы"/>
    <w:basedOn w:val="Normal"/>
    <w:qFormat/>
    <w:rsid w:val="00093071"/>
    <w:pPr>
      <w:suppressLineNumbers/>
    </w:pPr>
    <w:rPr/>
  </w:style>
  <w:style w:type="paragraph" w:styleId="Style27" w:customStyle="1">
    <w:name w:val="Заголовок таблицы"/>
    <w:basedOn w:val="Style26"/>
    <w:qFormat/>
    <w:rsid w:val="00093071"/>
    <w:pPr>
      <w:jc w:val="center"/>
    </w:pPr>
    <w:rPr>
      <w:b/>
      <w:bCs/>
    </w:rPr>
  </w:style>
  <w:style w:type="paragraph" w:styleId="NormalWeb">
    <w:name w:val="Normal (Web)"/>
    <w:basedOn w:val="Normal"/>
    <w:uiPriority w:val="99"/>
    <w:unhideWhenUsed/>
    <w:qFormat/>
    <w:rsid w:val="007364ff"/>
    <w:pPr/>
    <w:rPr>
      <w:color w:val="000000"/>
      <w:sz w:val="28"/>
      <w:szCs w:val="28"/>
      <w:shd w:fill="FFFFFF" w:val="clear"/>
      <w:lang w:eastAsia="ru-RU"/>
    </w:rPr>
  </w:style>
  <w:style w:type="paragraph" w:styleId="BalloonText">
    <w:name w:val="Balloon Text"/>
    <w:basedOn w:val="Normal"/>
    <w:link w:val="af"/>
    <w:uiPriority w:val="99"/>
    <w:semiHidden/>
    <w:unhideWhenUsed/>
    <w:qFormat/>
    <w:rsid w:val="0098656f"/>
    <w:pPr/>
    <w:rPr>
      <w:rFonts w:ascii="Segoe UI" w:hAnsi="Segoe UI" w:cs="Segoe UI"/>
      <w:sz w:val="18"/>
      <w:szCs w:val="18"/>
    </w:rPr>
  </w:style>
  <w:style w:type="paragraph" w:styleId="Style28">
    <w:name w:val="Header"/>
    <w:basedOn w:val="Normal"/>
    <w:link w:val="af1"/>
    <w:uiPriority w:val="99"/>
    <w:unhideWhenUsed/>
    <w:rsid w:val="00344130"/>
    <w:pPr>
      <w:tabs>
        <w:tab w:val="center" w:pos="4819" w:leader="none"/>
        <w:tab w:val="right" w:pos="9639" w:leader="none"/>
      </w:tabs>
    </w:pPr>
    <w:rPr/>
  </w:style>
  <w:style w:type="paragraph" w:styleId="Style29">
    <w:name w:val="Footer"/>
    <w:basedOn w:val="Normal"/>
    <w:link w:val="af3"/>
    <w:uiPriority w:val="99"/>
    <w:unhideWhenUsed/>
    <w:rsid w:val="00344130"/>
    <w:pPr>
      <w:tabs>
        <w:tab w:val="center" w:pos="4819" w:leader="none"/>
        <w:tab w:val="right" w:pos="9639" w:leader="none"/>
      </w:tabs>
    </w:pPr>
    <w:rPr/>
  </w:style>
  <w:style w:type="paragraph" w:styleId="ListParagraph">
    <w:name w:val="List Paragraph"/>
    <w:basedOn w:val="Normal"/>
    <w:qFormat/>
    <w:rsid w:val="00a719e3"/>
    <w:pPr>
      <w:spacing w:before="0" w:after="0"/>
      <w:ind w:left="720" w:hanging="0"/>
      <w:contextualSpacing/>
    </w:pPr>
    <w:rPr/>
  </w:style>
  <w:style w:type="paragraph" w:styleId="14" w:customStyle="1">
    <w:name w:val="Обычный1"/>
    <w:qFormat/>
    <w:rsid w:val="008e41eb"/>
    <w:pPr>
      <w:widowControl w:val="false"/>
      <w:suppressAutoHyphens w:val="true"/>
      <w:bidi w:val="0"/>
      <w:spacing w:lineRule="atLeast" w:line="100"/>
      <w:jc w:val="left"/>
      <w:textAlignment w:val="baseline"/>
    </w:pPr>
    <w:rPr>
      <w:rFonts w:eastAsia="Andale Sans UI" w:cs="Tahoma" w:ascii="Times New Roman" w:hAnsi="Times New Roman"/>
      <w:color w:val="auto"/>
      <w:sz w:val="24"/>
      <w:szCs w:val="24"/>
      <w:lang w:val="uk-UA" w:eastAsia="ar-SA" w:bidi="ar-SA"/>
    </w:rPr>
  </w:style>
  <w:style w:type="paragraph" w:styleId="HTML1" w:customStyle="1">
    <w:name w:val="Стандартний HTML1"/>
    <w:basedOn w:val="Normal"/>
    <w:qFormat/>
    <w:rsid w:val="00bb547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ar-SA"/>
    </w:rPr>
  </w:style>
  <w:style w:type="paragraph" w:styleId="StyleZakonu" w:customStyle="1">
    <w:name w:val="StyleZakonu"/>
    <w:basedOn w:val="Normal"/>
    <w:qFormat/>
    <w:rsid w:val="00bb5479"/>
    <w:pPr>
      <w:spacing w:lineRule="exact" w:line="220" w:before="0" w:after="60"/>
      <w:ind w:firstLine="284"/>
      <w:jc w:val="both"/>
    </w:pPr>
    <w:rPr>
      <w:sz w:val="20"/>
      <w:szCs w:val="20"/>
      <w:lang w:eastAsia="ar-SA"/>
    </w:rPr>
  </w:style>
  <w:style w:type="paragraph" w:styleId="15" w:customStyle="1">
    <w:name w:val="Заголовок №1"/>
    <w:basedOn w:val="Normal"/>
    <w:qFormat/>
    <w:rsid w:val="007c75d7"/>
    <w:pPr>
      <w:shd w:val="clear" w:color="auto" w:fill="FFFFFF"/>
      <w:spacing w:lineRule="exact" w:line="322" w:before="0" w:after="300"/>
    </w:pPr>
    <w:rPr>
      <w:b/>
      <w:bCs/>
      <w:sz w:val="27"/>
      <w:szCs w:val="27"/>
    </w:rPr>
  </w:style>
  <w:style w:type="paragraph" w:styleId="Default" w:customStyle="1">
    <w:name w:val="Default"/>
    <w:qFormat/>
    <w:rsid w:val="00b124e7"/>
    <w:pPr>
      <w:widowControl/>
      <w:bidi w:val="0"/>
      <w:jc w:val="left"/>
    </w:pPr>
    <w:rPr>
      <w:rFonts w:eastAsia="Calibri" w:ascii="Times New Roman" w:hAnsi="Times New Roman" w:cs="Times New Roman"/>
      <w:color w:val="000000"/>
      <w:sz w:val="24"/>
      <w:szCs w:val="24"/>
      <w:lang w:val="ru-RU" w:eastAsia="ru-RU" w:bidi="ar-SA"/>
    </w:rPr>
  </w:style>
  <w:style w:type="paragraph" w:styleId="HTMLPreformatted">
    <w:name w:val="HTML Preformatted"/>
    <w:basedOn w:val="Normal"/>
    <w:link w:val="HTML0"/>
    <w:uiPriority w:val="99"/>
    <w:qFormat/>
    <w:rsid w:val="00b124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val="ru-RU" w:eastAsia="ru-RU"/>
    </w:rPr>
  </w:style>
  <w:style w:type="paragraph" w:styleId="Style30">
    <w:name w:val="Body Text Indent"/>
    <w:basedOn w:val="Normal"/>
    <w:link w:val="af7"/>
    <w:unhideWhenUsed/>
    <w:rsid w:val="00de5ebe"/>
    <w:pPr>
      <w:spacing w:before="0" w:after="120"/>
      <w:ind w:left="283" w:hanging="0"/>
    </w:pPr>
    <w:rPr/>
  </w:style>
  <w:style w:type="paragraph" w:styleId="Style31" w:customStyle="1">
    <w:name w:val="Нормальний текст"/>
    <w:basedOn w:val="Normal"/>
    <w:qFormat/>
    <w:rsid w:val="00de5ebe"/>
    <w:pPr>
      <w:suppressAutoHyphens w:val="false"/>
      <w:spacing w:before="120" w:after="0"/>
      <w:ind w:firstLine="567"/>
    </w:pPr>
    <w:rPr>
      <w:rFonts w:ascii="Antiqua" w:hAnsi="Antiqua"/>
      <w:sz w:val="26"/>
      <w:szCs w:val="20"/>
      <w:lang w:eastAsia="ru-RU"/>
    </w:rPr>
  </w:style>
  <w:style w:type="paragraph" w:styleId="Style32" w:customStyle="1">
    <w:name w:val="Обычный (веб)"/>
    <w:basedOn w:val="Normal"/>
    <w:qFormat/>
    <w:rsid w:val="00de5ebe"/>
    <w:pPr>
      <w:spacing w:before="280" w:after="280"/>
    </w:pPr>
    <w:rPr/>
  </w:style>
  <w:style w:type="paragraph" w:styleId="Rvps12" w:customStyle="1">
    <w:name w:val="rvps12"/>
    <w:basedOn w:val="Normal"/>
    <w:qFormat/>
    <w:rsid w:val="00de5ebe"/>
    <w:pPr>
      <w:spacing w:before="280" w:after="280"/>
    </w:pPr>
    <w:rPr/>
  </w:style>
  <w:style w:type="paragraph" w:styleId="Rvps14" w:customStyle="1">
    <w:name w:val="rvps14"/>
    <w:basedOn w:val="Normal"/>
    <w:qFormat/>
    <w:rsid w:val="00de5ebe"/>
    <w:pPr>
      <w:spacing w:before="280" w:after="280"/>
    </w:pPr>
    <w:rPr/>
  </w:style>
  <w:style w:type="paragraph" w:styleId="Rvps3" w:customStyle="1">
    <w:name w:val="rvps3"/>
    <w:basedOn w:val="Normal"/>
    <w:qFormat/>
    <w:rsid w:val="00de5ebe"/>
    <w:pPr>
      <w:spacing w:before="280" w:after="280"/>
    </w:pPr>
    <w:rPr/>
  </w:style>
  <w:style w:type="paragraph" w:styleId="Rvps2" w:customStyle="1">
    <w:name w:val="rvps2"/>
    <w:basedOn w:val="Normal"/>
    <w:qFormat/>
    <w:rsid w:val="00de5ebe"/>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b">
    <w:name w:val="Table Grid"/>
    <w:basedOn w:val="a1"/>
    <w:rsid w:val="00241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www.mukachevo-rada.gov.ua/"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991AD-E48B-470B-87D8-3FECB692E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Application>LibreOffice/5.2.4.2$Windows_X86_64 LibreOffice_project/3d5603e1122f0f102b62521720ab13a38a4e0eb0</Application>
  <Pages>19</Pages>
  <Words>4252</Words>
  <Characters>29699</Characters>
  <CharactersWithSpaces>33831</CharactersWithSpaces>
  <Paragraphs>514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2019-11-25T09:40:00Z</dcterms:created>
  <dc:creator>Customer</dc:creator>
  <dc:description/>
  <dc:language>uk-UA</dc:language>
  <cp:lastModifiedBy/>
  <cp:lastPrinted>2019-12-18T09:25:00Z</cp:lastPrinted>
  <dcterms:modified xsi:type="dcterms:W3CDTF">2020-01-21T14:43:16Z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