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CYR" w:hAnsi="Times New Roman CYR" w:cs="Times New Roman CYR"/>
          <w:b/>
          <w:b/>
          <w:bCs/>
          <w:color w:val="auto"/>
          <w:sz w:val="28"/>
          <w:szCs w:val="28"/>
        </w:rPr>
      </w:pPr>
      <w:r>
        <w:rPr>
          <w:rFonts w:cs="Times New Roman CYR" w:ascii="Times New Roman CYR" w:hAnsi="Times New Roman CYR"/>
          <w:b/>
          <w:bCs/>
          <w:color w:val="auto"/>
          <w:sz w:val="28"/>
          <w:szCs w:val="28"/>
        </w:rPr>
        <w:drawing>
          <wp:anchor behindDoc="0" distT="0" distB="0" distL="0" distR="0" simplePos="0" locked="0" layoutInCell="1" allowOverlap="1" relativeHeight="2">
            <wp:simplePos x="0" y="0"/>
            <wp:positionH relativeFrom="column">
              <wp:posOffset>2837815</wp:posOffset>
            </wp:positionH>
            <wp:positionV relativeFrom="paragraph">
              <wp:posOffset>-102870</wp:posOffset>
            </wp:positionV>
            <wp:extent cx="431800" cy="61214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b/>
          <w:b/>
          <w:bCs/>
          <w:color w:val="auto"/>
          <w:sz w:val="28"/>
          <w:szCs w:val="28"/>
        </w:rPr>
      </w:pPr>
      <w:r>
        <w:rPr>
          <w:rFonts w:cs="Times New Roman CYR" w:ascii="Times New Roman CYR" w:hAnsi="Times New Roman CYR"/>
          <w:b/>
          <w:bCs/>
          <w:color w:val="auto"/>
          <w:sz w:val="28"/>
          <w:szCs w:val="28"/>
        </w:rPr>
      </w:r>
    </w:p>
    <w:p>
      <w:pPr>
        <w:pStyle w:val="Normal"/>
        <w:spacing w:before="120" w:after="120"/>
        <w:rPr>
          <w:rFonts w:ascii="Times New Roman CYR" w:hAnsi="Times New Roman CYR" w:cs="Times New Roman CYR"/>
          <w:b/>
          <w:b/>
          <w:bCs/>
          <w:color w:val="auto"/>
          <w:sz w:val="28"/>
          <w:szCs w:val="28"/>
        </w:rPr>
      </w:pPr>
      <w:r>
        <w:rPr>
          <w:rFonts w:cs="Times New Roman CYR" w:ascii="Times New Roman CYR" w:hAnsi="Times New Roman CYR"/>
          <w:b/>
          <w:bCs/>
          <w:color w:val="auto"/>
          <w:sz w:val="28"/>
          <w:szCs w:val="28"/>
          <w:lang w:val="uk-UA"/>
        </w:rPr>
        <w:t>У К Р А Ї Н А</w:t>
      </w:r>
    </w:p>
    <w:p>
      <w:pPr>
        <w:pStyle w:val="Normal"/>
        <w:rPr>
          <w:rFonts w:ascii="Times New Roman CYR" w:hAnsi="Times New Roman CYR" w:cs="Times New Roman CYR"/>
          <w:b/>
          <w:b/>
          <w:bCs/>
          <w:color w:val="auto"/>
          <w:sz w:val="40"/>
          <w:szCs w:val="40"/>
        </w:rPr>
      </w:pPr>
      <w:r>
        <w:rPr>
          <w:rFonts w:cs="Times New Roman CYR" w:ascii="Times New Roman CYR" w:hAnsi="Times New Roman CYR"/>
          <w:b/>
          <w:bCs/>
          <w:color w:val="auto"/>
          <w:sz w:val="28"/>
          <w:szCs w:val="28"/>
          <w:lang w:val="uk-UA"/>
        </w:rPr>
        <w:t>ЗАКАРПАТСЬКА ОБЛАСТЬ</w:t>
      </w:r>
    </w:p>
    <w:p>
      <w:pPr>
        <w:pStyle w:val="Normal"/>
        <w:rPr>
          <w:rFonts w:ascii="Times New Roman CYR" w:hAnsi="Times New Roman CYR" w:cs="Times New Roman CYR"/>
          <w:b/>
          <w:b/>
          <w:bCs/>
          <w:color w:val="auto"/>
          <w:sz w:val="28"/>
          <w:szCs w:val="28"/>
          <w:lang w:val="uk-UA"/>
        </w:rPr>
      </w:pPr>
      <w:r>
        <w:rPr>
          <w:rFonts w:cs="Times New Roman CYR" w:ascii="Times New Roman CYR" w:hAnsi="Times New Roman CYR"/>
          <w:b/>
          <w:bCs/>
          <w:color w:val="auto"/>
          <w:sz w:val="28"/>
          <w:szCs w:val="28"/>
          <w:lang w:val="uk-UA"/>
        </w:rPr>
        <w:t>МУКАЧІВСЬКА МІСЬКА РАДА</w:t>
      </w:r>
    </w:p>
    <w:p>
      <w:pPr>
        <w:pStyle w:val="Normal"/>
        <w:rPr>
          <w:rFonts w:ascii="Times New Roman CYR" w:hAnsi="Times New Roman CYR" w:cs="Times New Roman CYR"/>
          <w:b/>
          <w:b/>
          <w:bCs/>
          <w:color w:val="auto"/>
          <w:sz w:val="28"/>
          <w:szCs w:val="28"/>
          <w:lang w:val="uk-UA"/>
        </w:rPr>
      </w:pPr>
      <w:r>
        <w:rPr>
          <w:rFonts w:cs="Times New Roman CYR" w:ascii="Times New Roman CYR" w:hAnsi="Times New Roman CYR"/>
          <w:b/>
          <w:bCs/>
          <w:color w:val="auto"/>
          <w:sz w:val="28"/>
          <w:szCs w:val="28"/>
          <w:lang w:val="uk-UA"/>
        </w:rPr>
        <w:t>ВИКОНАВЧИЙ КОМІТЕТ</w:t>
      </w:r>
    </w:p>
    <w:p>
      <w:pPr>
        <w:pStyle w:val="Normal"/>
        <w:rPr>
          <w:rFonts w:ascii="Times New Roman CYR" w:hAnsi="Times New Roman CYR" w:cs="Times New Roman CYR"/>
          <w:b/>
          <w:b/>
          <w:bCs/>
          <w:color w:val="auto"/>
          <w:sz w:val="28"/>
          <w:szCs w:val="28"/>
          <w:lang w:val="uk-UA"/>
        </w:rPr>
      </w:pPr>
      <w:r>
        <w:rPr>
          <w:rFonts w:cs="Times New Roman CYR" w:ascii="Times New Roman CYR" w:hAnsi="Times New Roman CYR"/>
          <w:b/>
          <w:bCs/>
          <w:color w:val="auto"/>
          <w:sz w:val="28"/>
          <w:szCs w:val="28"/>
          <w:lang w:val="uk-UA"/>
        </w:rPr>
      </w:r>
    </w:p>
    <w:p>
      <w:pPr>
        <w:pStyle w:val="Normal"/>
        <w:rPr/>
      </w:pPr>
      <w:r>
        <w:rPr>
          <w:rFonts w:cs="Times New Roman CYR" w:ascii="Times New Roman CYR" w:hAnsi="Times New Roman CYR"/>
          <w:b/>
          <w:bCs/>
          <w:color w:val="auto"/>
          <w:sz w:val="28"/>
          <w:szCs w:val="28"/>
          <w:lang w:val="uk-UA"/>
        </w:rPr>
        <w:t xml:space="preserve">    </w:t>
      </w:r>
      <w:r>
        <w:rPr>
          <w:rFonts w:cs="Times New Roman CYR" w:ascii="Times New Roman CYR" w:hAnsi="Times New Roman CYR"/>
          <w:b/>
          <w:bCs/>
          <w:color w:val="auto"/>
          <w:sz w:val="28"/>
          <w:szCs w:val="28"/>
          <w:lang w:val="uk-UA"/>
        </w:rPr>
        <w:t>Р І Ш Е Н Н Я</w:t>
      </w:r>
    </w:p>
    <w:p>
      <w:pPr>
        <w:pStyle w:val="Normal"/>
        <w:keepNext w:val="true"/>
        <w:keepLines/>
        <w:tabs>
          <w:tab w:val="clear" w:pos="709"/>
          <w:tab w:val="left" w:pos="0" w:leader="none"/>
        </w:tabs>
        <w:jc w:val="left"/>
        <w:rPr>
          <w:rFonts w:ascii="Times New Roman CYR" w:hAnsi="Times New Roman CYR" w:cs="Times New Roman CYR"/>
          <w:b/>
          <w:b/>
          <w:bCs/>
          <w:color w:val="auto"/>
          <w:sz w:val="28"/>
          <w:szCs w:val="28"/>
        </w:rPr>
      </w:pPr>
      <w:r>
        <w:rPr>
          <w:rFonts w:cs="Times New Roman CYR" w:ascii="Times New Roman CYR" w:hAnsi="Times New Roman CYR"/>
          <w:b/>
          <w:bCs/>
          <w:color w:val="auto"/>
          <w:sz w:val="28"/>
          <w:szCs w:val="28"/>
        </w:rPr>
      </w:r>
    </w:p>
    <w:p>
      <w:pPr>
        <w:pStyle w:val="Normal"/>
        <w:keepNext w:val="true"/>
        <w:keepLines/>
        <w:tabs>
          <w:tab w:val="clear" w:pos="709"/>
          <w:tab w:val="left" w:pos="0" w:leader="none"/>
        </w:tabs>
        <w:jc w:val="left"/>
        <w:rPr>
          <w:rFonts w:ascii="Times New Roman CYR" w:hAnsi="Times New Roman CYR" w:cs="Times New Roman CYR"/>
          <w:color w:val="auto"/>
          <w:sz w:val="28"/>
          <w:szCs w:val="28"/>
        </w:rPr>
      </w:pPr>
      <w:r>
        <w:rPr>
          <w:rFonts w:cs="Times New Roman CYR" w:ascii="Times New Roman CYR" w:hAnsi="Times New Roman CYR"/>
          <w:color w:val="auto"/>
          <w:sz w:val="28"/>
          <w:szCs w:val="28"/>
          <w:lang w:val="uk-UA"/>
        </w:rPr>
        <w:t>07.04.2020</w:t>
      </w:r>
      <w:r>
        <w:rPr>
          <w:rFonts w:cs="Times New Roman CYR" w:ascii="Times New Roman CYR" w:hAnsi="Times New Roman CYR"/>
          <w:color w:val="auto"/>
          <w:sz w:val="28"/>
          <w:szCs w:val="28"/>
        </w:rPr>
        <w:tab/>
        <w:tab/>
        <w:t xml:space="preserve">                              </w:t>
      </w:r>
      <w:r>
        <w:rPr>
          <w:rFonts w:cs="Times New Roman CYR" w:ascii="Times New Roman CYR" w:hAnsi="Times New Roman CYR"/>
          <w:color w:val="auto"/>
          <w:sz w:val="28"/>
          <w:szCs w:val="28"/>
          <w:lang w:val="uk-UA"/>
        </w:rPr>
        <w:t xml:space="preserve">Мукачево               </w:t>
      </w:r>
      <w:r>
        <w:rPr>
          <w:rFonts w:cs="Times New Roman CYR" w:ascii="Times New Roman CYR" w:hAnsi="Times New Roman CYR"/>
          <w:color w:val="auto"/>
          <w:sz w:val="28"/>
          <w:szCs w:val="28"/>
        </w:rPr>
        <w:t xml:space="preserve">                           </w:t>
      </w:r>
      <w:r>
        <w:rPr>
          <w:rFonts w:cs="Times New Roman CYR" w:ascii="Times New Roman CYR" w:hAnsi="Times New Roman CYR"/>
          <w:color w:val="auto"/>
          <w:sz w:val="28"/>
          <w:szCs w:val="28"/>
          <w:lang w:val="uk-UA"/>
        </w:rPr>
        <w:t xml:space="preserve">      №</w:t>
      </w:r>
      <w:r>
        <w:rPr>
          <w:rFonts w:cs="Times New Roman CYR" w:ascii="Times New Roman CYR" w:hAnsi="Times New Roman CYR"/>
          <w:color w:val="auto"/>
          <w:sz w:val="28"/>
          <w:szCs w:val="28"/>
        </w:rPr>
        <w:t xml:space="preserve"> </w:t>
      </w:r>
      <w:r>
        <w:rPr>
          <w:rFonts w:cs="Times New Roman CYR" w:ascii="Times New Roman CYR" w:hAnsi="Times New Roman CYR"/>
          <w:color w:val="auto"/>
          <w:sz w:val="28"/>
          <w:szCs w:val="28"/>
          <w:lang w:val="uk-UA"/>
        </w:rPr>
        <w:t>140</w:t>
      </w:r>
    </w:p>
    <w:p>
      <w:pPr>
        <w:pStyle w:val="Normal"/>
        <w:suppressAutoHyphens w:val="true"/>
        <w:ind w:right="4" w:firstLine="14"/>
        <w:jc w:val="both"/>
        <w:rPr>
          <w:rFonts w:ascii="Liberation Serif" w:hAnsi="Liberation Serif" w:eastAsia="Lucida Sans Unicode" w:cs="Mangal"/>
          <w:b/>
          <w:b/>
          <w:color w:val="auto"/>
          <w:sz w:val="28"/>
          <w:szCs w:val="28"/>
          <w:lang w:val="uk-UA" w:eastAsia="zh-CN" w:bidi="hi-IN"/>
        </w:rPr>
      </w:pPr>
      <w:r>
        <w:rPr>
          <w:rFonts w:eastAsia="Lucida Sans Unicode" w:cs="Mangal" w:ascii="Liberation Serif" w:hAnsi="Liberation Serif"/>
          <w:b/>
          <w:color w:val="auto"/>
          <w:sz w:val="28"/>
          <w:szCs w:val="28"/>
          <w:lang w:val="uk-UA" w:eastAsia="zh-CN" w:bidi="hi-IN"/>
        </w:rPr>
      </w:r>
    </w:p>
    <w:p>
      <w:pPr>
        <w:pStyle w:val="Normal"/>
        <w:suppressAutoHyphens w:val="true"/>
        <w:ind w:right="4" w:firstLine="14"/>
        <w:jc w:val="both"/>
        <w:rPr>
          <w:rFonts w:ascii="Times New Roman" w:hAnsi="Times New Roman" w:eastAsia="Lucida Sans Unicode" w:cs="Mangal"/>
          <w:b/>
          <w:b/>
          <w:bCs/>
          <w:color w:val="auto"/>
          <w:sz w:val="28"/>
          <w:szCs w:val="28"/>
          <w:lang w:val="uk-UA" w:eastAsia="zh-CN" w:bidi="hi-IN"/>
        </w:rPr>
      </w:pPr>
      <w:r>
        <w:rPr>
          <w:rFonts w:eastAsia="Lucida Sans Unicode" w:cs="Mangal" w:ascii="Liberation Serif" w:hAnsi="Liberation Serif"/>
          <w:b/>
          <w:color w:val="auto"/>
          <w:sz w:val="28"/>
          <w:szCs w:val="28"/>
          <w:lang w:val="uk-UA" w:eastAsia="zh-CN" w:bidi="hi-IN"/>
        </w:rPr>
        <w:t xml:space="preserve">Про затвердження Правил </w:t>
      </w:r>
      <w:r>
        <w:rPr>
          <w:rFonts w:eastAsia="Lucida Sans Unicode" w:cs="Mangal" w:ascii="Times New Roman" w:hAnsi="Times New Roman"/>
          <w:b/>
          <w:bCs/>
          <w:color w:val="auto"/>
          <w:sz w:val="28"/>
          <w:szCs w:val="28"/>
          <w:lang w:val="uk-UA" w:eastAsia="zh-CN" w:bidi="hi-IN"/>
        </w:rPr>
        <w:t xml:space="preserve">проведення земляних робіт на території </w:t>
      </w:r>
    </w:p>
    <w:p>
      <w:pPr>
        <w:pStyle w:val="Normal"/>
        <w:suppressAutoHyphens w:val="true"/>
        <w:ind w:right="4" w:firstLine="14"/>
        <w:jc w:val="both"/>
        <w:rPr>
          <w:rFonts w:ascii="Times New Roman" w:hAnsi="Times New Roman" w:eastAsia="Lucida Sans Unicode" w:cs="Mangal"/>
          <w:b/>
          <w:b/>
          <w:bCs/>
          <w:color w:val="auto"/>
          <w:sz w:val="28"/>
          <w:szCs w:val="28"/>
          <w:lang w:val="uk-UA" w:eastAsia="zh-CN" w:bidi="hi-IN"/>
        </w:rPr>
      </w:pPr>
      <w:r>
        <w:rPr>
          <w:rFonts w:eastAsia="Lucida Sans Unicode" w:cs="Mangal" w:ascii="Times New Roman" w:hAnsi="Times New Roman"/>
          <w:b/>
          <w:bCs/>
          <w:color w:val="auto"/>
          <w:sz w:val="28"/>
          <w:szCs w:val="28"/>
          <w:lang w:val="uk-UA" w:eastAsia="zh-CN" w:bidi="hi-IN"/>
        </w:rPr>
        <w:t>Мукачівської міської об’єднаної територіальної громади</w:t>
      </w:r>
    </w:p>
    <w:p>
      <w:pPr>
        <w:pStyle w:val="Normal"/>
        <w:suppressAutoHyphens w:val="true"/>
        <w:ind w:right="4" w:firstLine="14"/>
        <w:jc w:val="both"/>
        <w:rPr>
          <w:rFonts w:ascii="Times New Roman" w:hAnsi="Times New Roman" w:eastAsia="Lucida Sans Unicode" w:cs="Mangal"/>
          <w:color w:val="auto"/>
          <w:sz w:val="28"/>
          <w:lang w:val="uk-UA" w:eastAsia="zh-CN" w:bidi="hi-IN"/>
        </w:rPr>
      </w:pPr>
      <w:r>
        <w:rPr>
          <w:rFonts w:eastAsia="Lucida Sans Unicode" w:cs="Mangal" w:ascii="Times New Roman" w:hAnsi="Times New Roman"/>
          <w:color w:val="auto"/>
          <w:sz w:val="28"/>
          <w:lang w:val="uk-UA" w:eastAsia="zh-CN" w:bidi="hi-IN"/>
        </w:rPr>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t>З метою впорядкування проведення земляних робіт на території Мукачівської міської об’єднаної територіальної громади, відповідно до вимог Закону України «Про благоустрій населених пунктів», «Типовий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 керуючись</w:t>
      </w:r>
      <w:r>
        <w:rPr>
          <w:rFonts w:eastAsia="Lucida Sans Unicode" w:cs="Times New Roman" w:ascii="Times New Roman" w:hAnsi="Times New Roman"/>
          <w:color w:val="auto"/>
          <w:sz w:val="28"/>
          <w:szCs w:val="28"/>
          <w:lang w:val="uk-UA" w:eastAsia="zh-CN" w:bidi="hi-IN"/>
        </w:rPr>
        <w:t xml:space="preserve"> ч.1</w:t>
      </w:r>
      <w:r>
        <w:rPr>
          <w:rFonts w:eastAsia="Lucida Sans Unicode" w:cs="Mangal" w:ascii="Liberation Serif" w:hAnsi="Liberation Serif"/>
          <w:color w:val="auto"/>
          <w:sz w:val="28"/>
          <w:szCs w:val="28"/>
          <w:lang w:val="uk-UA" w:eastAsia="zh-CN" w:bidi="hi-IN"/>
        </w:rPr>
        <w:t xml:space="preserve"> ст. 52, ч.6 ст. 59 Закону України «Про місцеве самоврядування в Україні»</w:t>
      </w:r>
      <w:r>
        <w:rPr>
          <w:rFonts w:eastAsia="Lucida Sans Unicode" w:cs="Times New Roman" w:ascii="Times New Roman" w:hAnsi="Times New Roman"/>
          <w:color w:val="auto"/>
          <w:sz w:val="28"/>
          <w:szCs w:val="28"/>
          <w:lang w:val="uk-UA" w:eastAsia="uk-UA" w:bidi="hi-IN"/>
        </w:rPr>
        <w:t>,</w:t>
      </w:r>
      <w:r>
        <w:rPr>
          <w:rFonts w:eastAsia="Lucida Sans Unicode" w:cs="Mangal" w:ascii="Liberation Serif" w:hAnsi="Liberation Serif"/>
          <w:color w:val="auto"/>
          <w:sz w:val="28"/>
          <w:szCs w:val="28"/>
          <w:lang w:val="uk-UA" w:eastAsia="zh-CN" w:bidi="hi-IN"/>
        </w:rPr>
        <w:t xml:space="preserve"> виконавчий комітет Мукачівської міської ради </w:t>
      </w:r>
      <w:r>
        <w:rPr>
          <w:rFonts w:eastAsia="Lucida Sans Unicode" w:cs="Mangal" w:ascii="Liberation Serif" w:hAnsi="Liberation Serif"/>
          <w:b/>
          <w:color w:val="auto"/>
          <w:sz w:val="28"/>
          <w:szCs w:val="28"/>
          <w:lang w:val="uk-UA" w:eastAsia="zh-CN" w:bidi="hi-IN"/>
        </w:rPr>
        <w:t>ВИРІШИВ</w:t>
      </w:r>
      <w:r>
        <w:rPr>
          <w:rFonts w:eastAsia="Lucida Sans Unicode" w:cs="Mangal" w:ascii="Liberation Serif" w:hAnsi="Liberation Serif"/>
          <w:color w:val="auto"/>
          <w:sz w:val="28"/>
          <w:szCs w:val="28"/>
          <w:lang w:val="uk-UA" w:eastAsia="zh-CN" w:bidi="hi-IN"/>
        </w:rPr>
        <w:t>:</w:t>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r>
    </w:p>
    <w:p>
      <w:pPr>
        <w:pStyle w:val="Normal"/>
        <w:suppressAutoHyphens w:val="true"/>
        <w:ind w:firstLine="708"/>
        <w:jc w:val="both"/>
        <w:rPr>
          <w:rFonts w:ascii="Times New Roman" w:hAnsi="Times New Roman" w:eastAsia="Lucida Sans Unicode" w:cs="Times New Roman"/>
          <w:color w:val="auto"/>
          <w:sz w:val="28"/>
          <w:lang w:val="uk-UA" w:eastAsia="zh-CN" w:bidi="hi-IN"/>
        </w:rPr>
      </w:pPr>
      <w:r>
        <w:rPr>
          <w:rFonts w:eastAsia="Lucida Sans Unicode" w:cs="Mangal" w:ascii="Liberation Serif" w:hAnsi="Liberation Serif"/>
          <w:color w:val="auto"/>
          <w:sz w:val="28"/>
          <w:szCs w:val="28"/>
          <w:lang w:val="uk-UA" w:eastAsia="zh-CN" w:bidi="hi-IN"/>
        </w:rPr>
        <w:t>1. Затвердити Правила</w:t>
      </w:r>
      <w:r>
        <w:rPr>
          <w:rFonts w:eastAsia="Lucida Sans Unicode" w:cs="Times New Roman" w:ascii="Times New Roman" w:hAnsi="Times New Roman"/>
          <w:color w:val="auto"/>
          <w:sz w:val="28"/>
          <w:lang w:val="uk-UA" w:eastAsia="zh-CN" w:bidi="hi-IN"/>
        </w:rPr>
        <w:t xml:space="preserve"> проведення земляних робіт на території Мукачівської міської об’єднаної територіальної громади згідно додатку 1.</w:t>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t xml:space="preserve">2. Вважати такими, що втратили чинність рішення виконавчого комітету Мукачівської міської ради «Про затвердження Правил </w:t>
      </w:r>
      <w:r>
        <w:rPr>
          <w:rFonts w:eastAsia="Lucida Sans Unicode" w:cs="Times New Roman" w:ascii="Times New Roman" w:hAnsi="Times New Roman"/>
          <w:color w:val="auto"/>
          <w:sz w:val="28"/>
          <w:lang w:val="uk-UA" w:eastAsia="zh-CN" w:bidi="hi-IN"/>
        </w:rPr>
        <w:t>проведення земляних робіт на території міста Мукачево» від 31.01.2017р. №16, «Про внесення доповнення до рішення виконавчого комітету Мукачівської міської ради № 16 від 31.01.2017 року «Про затвердження правил проведення земляних робіт на території міста Мукачево» від 04.05.2017р. №116.</w:t>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t xml:space="preserve">3. Управлінню міського господарства Мукачівської міської ради оприлюднити дане рішення </w:t>
      </w:r>
      <w:r>
        <w:rPr>
          <w:rFonts w:eastAsia="Lucida Sans Unicode" w:cs="Times New Roman" w:ascii="Times New Roman" w:hAnsi="Times New Roman"/>
          <w:color w:val="auto"/>
          <w:sz w:val="28"/>
          <w:szCs w:val="28"/>
          <w:lang w:val="uk-UA" w:eastAsia="zh-CN" w:bidi="hi-IN"/>
        </w:rPr>
        <w:t xml:space="preserve">на офіційному сайті Мукачівської міської ради </w:t>
      </w:r>
      <w:r>
        <w:rPr>
          <w:rFonts w:eastAsia="Lucida Sans Unicode" w:cs="Mangal" w:ascii="Liberation Serif" w:hAnsi="Liberation Serif"/>
          <w:color w:val="auto"/>
          <w:sz w:val="28"/>
          <w:szCs w:val="28"/>
          <w:lang w:val="uk-UA" w:eastAsia="zh-CN" w:bidi="hi-IN"/>
        </w:rPr>
        <w:t>(www.mukachevo-rada.gov.ua).</w:t>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t>4.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r>
    </w:p>
    <w:p>
      <w:pPr>
        <w:pStyle w:val="Normal"/>
        <w:suppressAutoHyphens w:val="true"/>
        <w:ind w:firstLine="708"/>
        <w:jc w:val="both"/>
        <w:rPr>
          <w:rFonts w:ascii="Liberation Serif" w:hAnsi="Liberation Serif" w:eastAsia="Lucida Sans Unicode" w:cs="Mangal"/>
          <w:color w:val="auto"/>
          <w:sz w:val="28"/>
          <w:szCs w:val="28"/>
          <w:lang w:val="uk-UA" w:eastAsia="zh-CN" w:bidi="hi-IN"/>
        </w:rPr>
      </w:pPr>
      <w:r>
        <w:rPr>
          <w:rFonts w:eastAsia="Lucida Sans Unicode" w:cs="Mangal" w:ascii="Liberation Serif" w:hAnsi="Liberation Serif"/>
          <w:color w:val="auto"/>
          <w:sz w:val="28"/>
          <w:szCs w:val="28"/>
          <w:lang w:val="uk-UA" w:eastAsia="zh-CN" w:bidi="hi-IN"/>
        </w:rPr>
      </w:r>
    </w:p>
    <w:p>
      <w:pPr>
        <w:pStyle w:val="Normal"/>
        <w:suppressAutoHyphens w:val="true"/>
        <w:jc w:val="both"/>
        <w:rPr>
          <w:rFonts w:ascii="Liberation Serif" w:hAnsi="Liberation Serif" w:eastAsia="Lucida Sans Unicode" w:cs="Mangal"/>
          <w:b/>
          <w:b/>
          <w:color w:val="auto"/>
          <w:sz w:val="28"/>
          <w:szCs w:val="28"/>
          <w:lang w:val="uk-UA" w:eastAsia="zh-CN" w:bidi="hi-IN"/>
        </w:rPr>
      </w:pPr>
      <w:r>
        <w:rPr>
          <w:rFonts w:eastAsia="Lucida Sans Unicode" w:cs="Mangal" w:ascii="Liberation Serif" w:hAnsi="Liberation Serif"/>
          <w:b/>
          <w:color w:val="auto"/>
          <w:sz w:val="28"/>
          <w:szCs w:val="28"/>
          <w:lang w:val="uk-UA" w:eastAsia="zh-CN" w:bidi="hi-IN"/>
        </w:rPr>
        <w:t>Міський голова</w:t>
      </w:r>
      <w:r>
        <w:rPr>
          <w:rFonts w:eastAsia="Lucida Sans Unicode" w:cs="Mangal" w:ascii="Liberation Serif" w:hAnsi="Liberation Serif"/>
          <w:color w:val="auto"/>
          <w:sz w:val="28"/>
          <w:szCs w:val="28"/>
          <w:lang w:val="uk-UA" w:eastAsia="zh-CN" w:bidi="hi-IN"/>
        </w:rPr>
        <w:tab/>
        <w:tab/>
        <w:tab/>
        <w:tab/>
        <w:tab/>
        <w:tab/>
        <w:tab/>
        <w:tab/>
        <w:tab/>
        <w:t xml:space="preserve">    </w:t>
      </w:r>
      <w:r>
        <w:rPr>
          <w:rFonts w:eastAsia="Lucida Sans Unicode" w:cs="Mangal" w:ascii="Liberation Serif" w:hAnsi="Liberation Serif"/>
          <w:b/>
          <w:color w:val="auto"/>
          <w:sz w:val="28"/>
          <w:szCs w:val="28"/>
          <w:lang w:val="uk-UA" w:eastAsia="zh-CN" w:bidi="hi-IN"/>
        </w:rPr>
        <w:t>А. БАЛОГА</w:t>
      </w:r>
    </w:p>
    <w:p>
      <w:pPr>
        <w:pStyle w:val="Normal"/>
        <w:suppressAutoHyphens w:val="true"/>
        <w:jc w:val="both"/>
        <w:rPr>
          <w:rFonts w:ascii="Liberation Serif" w:hAnsi="Liberation Serif" w:eastAsia="Lucida Sans Unicode" w:cs="Mangal"/>
          <w:b/>
          <w:b/>
          <w:color w:val="auto"/>
          <w:sz w:val="28"/>
          <w:szCs w:val="28"/>
          <w:lang w:val="uk-UA" w:eastAsia="zh-CN" w:bidi="hi-IN"/>
        </w:rPr>
      </w:pPr>
      <w:r>
        <w:rPr>
          <w:rFonts w:eastAsia="Lucida Sans Unicode" w:cs="Mangal" w:ascii="Liberation Serif" w:hAnsi="Liberation Serif"/>
          <w:b/>
          <w:color w:val="auto"/>
          <w:sz w:val="28"/>
          <w:szCs w:val="28"/>
          <w:lang w:val="uk-UA" w:eastAsia="zh-CN" w:bidi="hi-IN"/>
        </w:rPr>
      </w:r>
    </w:p>
    <w:p>
      <w:pPr>
        <w:pStyle w:val="Normal"/>
        <w:suppressAutoHyphens w:val="true"/>
        <w:jc w:val="both"/>
        <w:rPr>
          <w:rFonts w:ascii="Liberation Serif" w:hAnsi="Liberation Serif" w:eastAsia="Lucida Sans Unicode" w:cs="Mangal"/>
          <w:b/>
          <w:b/>
          <w:color w:val="auto"/>
          <w:sz w:val="28"/>
          <w:szCs w:val="28"/>
          <w:lang w:val="uk-UA" w:eastAsia="zh-CN" w:bidi="hi-IN"/>
        </w:rPr>
      </w:pPr>
      <w:r>
        <w:rPr>
          <w:rFonts w:eastAsia="Lucida Sans Unicode" w:cs="Mangal" w:ascii="Liberation Serif" w:hAnsi="Liberation Serif"/>
          <w:b/>
          <w:color w:val="auto"/>
          <w:sz w:val="28"/>
          <w:szCs w:val="28"/>
          <w:lang w:val="uk-UA" w:eastAsia="zh-CN" w:bidi="hi-IN"/>
        </w:rPr>
      </w:r>
    </w:p>
    <w:p>
      <w:pPr>
        <w:pStyle w:val="Normal"/>
        <w:suppressAutoHyphens w:val="true"/>
        <w:jc w:val="left"/>
        <w:rPr>
          <w:rFonts w:ascii="Times New Roman" w:hAnsi="Times New Roman" w:eastAsia="Lucida Sans Unicode" w:cs="Mangal"/>
          <w:b/>
          <w:b/>
          <w:color w:val="auto"/>
          <w:sz w:val="28"/>
          <w:lang w:val="uk-UA" w:eastAsia="zh-CN" w:bidi="hi-IN"/>
        </w:rPr>
      </w:pPr>
      <w:r>
        <w:rPr>
          <w:rFonts w:eastAsia="Lucida Sans Unicode" w:cs="Mangal" w:ascii="Times New Roman" w:hAnsi="Times New Roman"/>
          <w:b/>
          <w:color w:val="auto"/>
          <w:sz w:val="28"/>
          <w:lang w:val="uk-UA" w:eastAsia="zh-CN" w:bidi="hi-IN"/>
        </w:rPr>
      </w:r>
    </w:p>
    <w:p>
      <w:pPr>
        <w:pStyle w:val="Normal"/>
        <w:widowControl/>
        <w:jc w:val="left"/>
        <w:rPr>
          <w:rFonts w:ascii="Times New Roman" w:hAnsi="Times New Roman" w:eastAsia="Lucida Sans Unicode" w:cs="Mangal"/>
          <w:bCs/>
          <w:color w:val="auto"/>
          <w:sz w:val="28"/>
          <w:lang w:val="uk-UA" w:eastAsia="zh-CN" w:bidi="hi-IN"/>
        </w:rPr>
      </w:pPr>
      <w:r>
        <w:rPr>
          <w:rFonts w:eastAsia="Lucida Sans Unicode" w:cs="Mangal" w:ascii="Times New Roman" w:hAnsi="Times New Roman"/>
          <w:bCs/>
          <w:color w:val="auto"/>
          <w:sz w:val="28"/>
          <w:lang w:val="uk-UA" w:eastAsia="zh-CN" w:bidi="hi-IN"/>
        </w:rPr>
      </w:r>
      <w:r>
        <w:br w:type="page"/>
      </w:r>
    </w:p>
    <w:p>
      <w:pPr>
        <w:pStyle w:val="Normal"/>
        <w:suppressAutoHyphens w:val="true"/>
        <w:ind w:left="4963" w:hanging="0"/>
        <w:jc w:val="left"/>
        <w:rPr>
          <w:rFonts w:ascii="Times New Roman" w:hAnsi="Times New Roman" w:eastAsia="Lucida Sans Unicode" w:cs="Mangal"/>
          <w:bCs/>
          <w:color w:val="auto"/>
          <w:sz w:val="28"/>
          <w:lang w:val="uk-UA" w:eastAsia="zh-CN" w:bidi="hi-IN"/>
        </w:rPr>
      </w:pPr>
      <w:r>
        <w:rPr>
          <w:rFonts w:eastAsia="Lucida Sans Unicode" w:cs="Mangal" w:ascii="Times New Roman" w:hAnsi="Times New Roman"/>
          <w:bCs/>
          <w:color w:val="auto"/>
          <w:sz w:val="28"/>
          <w:lang w:val="uk-UA" w:eastAsia="zh-CN" w:bidi="hi-IN"/>
        </w:rPr>
        <w:t xml:space="preserve">Додаток до рішення </w:t>
      </w:r>
    </w:p>
    <w:p>
      <w:pPr>
        <w:pStyle w:val="Normal"/>
        <w:suppressAutoHyphens w:val="true"/>
        <w:ind w:left="4963" w:hanging="0"/>
        <w:jc w:val="left"/>
        <w:rPr>
          <w:rFonts w:ascii="Times New Roman" w:hAnsi="Times New Roman" w:eastAsia="Lucida Sans Unicode" w:cs="Mangal"/>
          <w:bCs/>
          <w:color w:val="auto"/>
          <w:sz w:val="28"/>
          <w:lang w:val="uk-UA" w:eastAsia="zh-CN" w:bidi="hi-IN"/>
        </w:rPr>
      </w:pPr>
      <w:r>
        <w:rPr>
          <w:rFonts w:eastAsia="Lucida Sans Unicode" w:cs="Mangal" w:ascii="Times New Roman" w:hAnsi="Times New Roman"/>
          <w:bCs/>
          <w:color w:val="auto"/>
          <w:sz w:val="28"/>
          <w:lang w:val="uk-UA" w:eastAsia="zh-CN" w:bidi="hi-IN"/>
        </w:rPr>
        <w:t>виконавчого комітету</w:t>
      </w:r>
    </w:p>
    <w:p>
      <w:pPr>
        <w:pStyle w:val="Normal"/>
        <w:suppressAutoHyphens w:val="true"/>
        <w:ind w:left="4963" w:hanging="0"/>
        <w:jc w:val="left"/>
        <w:rPr>
          <w:rFonts w:ascii="Times New Roman" w:hAnsi="Times New Roman" w:eastAsia="Lucida Sans Unicode" w:cs="Mangal"/>
          <w:bCs/>
          <w:color w:val="auto"/>
          <w:sz w:val="28"/>
          <w:lang w:val="uk-UA" w:eastAsia="zh-CN" w:bidi="hi-IN"/>
        </w:rPr>
      </w:pPr>
      <w:r>
        <w:rPr>
          <w:rFonts w:eastAsia="Lucida Sans Unicode" w:cs="Mangal" w:ascii="Times New Roman" w:hAnsi="Times New Roman"/>
          <w:bCs/>
          <w:color w:val="auto"/>
          <w:sz w:val="28"/>
          <w:lang w:val="uk-UA" w:eastAsia="zh-CN" w:bidi="hi-IN"/>
        </w:rPr>
        <w:t>Мукачівської міської ради</w:t>
      </w:r>
    </w:p>
    <w:p>
      <w:pPr>
        <w:pStyle w:val="Normal"/>
        <w:suppressAutoHyphens w:val="true"/>
        <w:ind w:left="4963" w:hanging="0"/>
        <w:jc w:val="left"/>
        <w:rPr>
          <w:rFonts w:ascii="Times New Roman" w:hAnsi="Times New Roman" w:eastAsia="Lucida Sans Unicode" w:cs="Mangal"/>
          <w:bCs/>
          <w:color w:val="auto"/>
          <w:sz w:val="28"/>
          <w:lang w:val="uk-UA" w:eastAsia="zh-CN" w:bidi="hi-IN"/>
        </w:rPr>
      </w:pPr>
      <w:r>
        <w:rPr>
          <w:rFonts w:eastAsia="Lucida Sans Unicode" w:cs="Mangal" w:ascii="Times New Roman" w:hAnsi="Times New Roman"/>
          <w:bCs/>
          <w:color w:val="auto"/>
          <w:sz w:val="28"/>
          <w:lang w:val="uk-UA" w:eastAsia="zh-CN" w:bidi="hi-IN"/>
        </w:rPr>
        <w:t>____________</w:t>
      </w:r>
      <w:bookmarkStart w:id="0" w:name="_GoBack"/>
      <w:bookmarkEnd w:id="0"/>
      <w:r>
        <w:rPr>
          <w:rFonts w:eastAsia="Lucida Sans Unicode" w:cs="Mangal" w:ascii="Times New Roman" w:hAnsi="Times New Roman"/>
          <w:bCs/>
          <w:color w:val="auto"/>
          <w:sz w:val="28"/>
          <w:lang w:val="uk-UA" w:eastAsia="zh-CN" w:bidi="hi-IN"/>
        </w:rPr>
        <w:t xml:space="preserve"> № ________</w:t>
      </w:r>
    </w:p>
    <w:p>
      <w:pPr>
        <w:pStyle w:val="Normal"/>
        <w:suppressAutoHyphens w:val="true"/>
        <w:ind w:left="6540" w:hanging="0"/>
        <w:jc w:val="left"/>
        <w:rPr>
          <w:rFonts w:ascii="Times New Roman" w:hAnsi="Times New Roman" w:eastAsia="Lucida Sans Unicode" w:cs="Mangal"/>
          <w:color w:val="auto"/>
          <w:sz w:val="28"/>
          <w:szCs w:val="28"/>
          <w:lang w:val="uk-UA" w:eastAsia="zh-CN" w:bidi="hi-IN"/>
        </w:rPr>
      </w:pPr>
      <w:r>
        <w:rPr>
          <w:rFonts w:eastAsia="Lucida Sans Unicode" w:cs="Mangal" w:ascii="Times New Roman" w:hAnsi="Times New Roman"/>
          <w:color w:val="auto"/>
          <w:sz w:val="28"/>
          <w:szCs w:val="28"/>
          <w:lang w:val="uk-UA" w:eastAsia="zh-CN" w:bidi="hi-IN"/>
        </w:rPr>
      </w:r>
    </w:p>
    <w:p>
      <w:pPr>
        <w:pStyle w:val="Normal"/>
        <w:suppressAutoHyphens w:val="true"/>
        <w:ind w:left="6540" w:hanging="0"/>
        <w:jc w:val="left"/>
        <w:rPr>
          <w:rFonts w:ascii="Times New Roman" w:hAnsi="Times New Roman" w:eastAsia="Lucida Sans Unicode" w:cs="Mangal"/>
          <w:color w:val="auto"/>
          <w:sz w:val="28"/>
          <w:szCs w:val="28"/>
          <w:lang w:val="uk-UA" w:eastAsia="zh-CN" w:bidi="hi-IN"/>
        </w:rPr>
      </w:pPr>
      <w:r>
        <w:rPr>
          <w:rFonts w:eastAsia="Lucida Sans Unicode" w:cs="Mangal" w:ascii="Times New Roman" w:hAnsi="Times New Roman"/>
          <w:color w:val="auto"/>
          <w:sz w:val="28"/>
          <w:szCs w:val="28"/>
          <w:lang w:val="uk-UA" w:eastAsia="zh-CN" w:bidi="hi-IN"/>
        </w:rPr>
      </w:r>
    </w:p>
    <w:p>
      <w:pPr>
        <w:pStyle w:val="Normal"/>
        <w:suppressAutoHyphens w:val="true"/>
        <w:ind w:left="1120" w:right="1120" w:firstLine="14"/>
        <w:rPr>
          <w:rFonts w:ascii="Times New Roman" w:hAnsi="Times New Roman" w:eastAsia="Lucida Sans Unicode" w:cs="Mangal"/>
          <w:b/>
          <w:b/>
          <w:bCs/>
          <w:color w:val="auto"/>
          <w:sz w:val="28"/>
          <w:szCs w:val="28"/>
          <w:lang w:val="uk-UA" w:eastAsia="zh-CN" w:bidi="hi-IN"/>
        </w:rPr>
      </w:pPr>
      <w:r>
        <w:rPr>
          <w:rFonts w:eastAsia="Lucida Sans Unicode" w:cs="Mangal" w:ascii="Times New Roman" w:hAnsi="Times New Roman"/>
          <w:b/>
          <w:bCs/>
          <w:color w:val="auto"/>
          <w:sz w:val="28"/>
          <w:szCs w:val="28"/>
          <w:lang w:val="uk-UA" w:eastAsia="zh-CN" w:bidi="hi-IN"/>
        </w:rPr>
        <w:t xml:space="preserve">ПРАВИЛА </w:t>
      </w:r>
    </w:p>
    <w:p>
      <w:pPr>
        <w:pStyle w:val="Normal"/>
        <w:suppressAutoHyphens w:val="true"/>
        <w:ind w:left="1120" w:right="1120" w:firstLine="14"/>
        <w:rPr>
          <w:rFonts w:ascii="Times New Roman" w:hAnsi="Times New Roman" w:eastAsia="Lucida Sans Unicode" w:cs="Mangal"/>
          <w:b/>
          <w:b/>
          <w:bCs/>
          <w:color w:val="auto"/>
          <w:sz w:val="28"/>
          <w:szCs w:val="28"/>
          <w:lang w:val="uk-UA" w:eastAsia="zh-CN" w:bidi="hi-IN"/>
        </w:rPr>
      </w:pPr>
      <w:r>
        <w:rPr>
          <w:rFonts w:eastAsia="Lucida Sans Unicode" w:cs="Mangal" w:ascii="Times New Roman" w:hAnsi="Times New Roman"/>
          <w:b/>
          <w:bCs/>
          <w:color w:val="auto"/>
          <w:sz w:val="28"/>
          <w:szCs w:val="28"/>
          <w:lang w:val="uk-UA" w:eastAsia="zh-CN" w:bidi="hi-IN"/>
        </w:rPr>
        <w:t xml:space="preserve">проведення земляних робіт на території </w:t>
      </w:r>
    </w:p>
    <w:p>
      <w:pPr>
        <w:pStyle w:val="Normal"/>
        <w:suppressAutoHyphens w:val="true"/>
        <w:rPr>
          <w:rFonts w:ascii="Times New Roman" w:hAnsi="Times New Roman" w:eastAsia="Lucida Sans Unicode" w:cs="Mangal"/>
          <w:b/>
          <w:b/>
          <w:bCs/>
          <w:color w:val="auto"/>
          <w:sz w:val="28"/>
          <w:szCs w:val="28"/>
          <w:lang w:val="uk-UA" w:eastAsia="zh-CN" w:bidi="hi-IN"/>
        </w:rPr>
      </w:pPr>
      <w:r>
        <w:rPr>
          <w:rFonts w:eastAsia="Lucida Sans Unicode" w:cs="Mangal" w:ascii="Times New Roman" w:hAnsi="Times New Roman"/>
          <w:b/>
          <w:bCs/>
          <w:color w:val="auto"/>
          <w:sz w:val="28"/>
          <w:szCs w:val="28"/>
          <w:lang w:val="uk-UA" w:eastAsia="zh-CN" w:bidi="hi-IN"/>
        </w:rPr>
        <w:t>Мукачівської міської об’єднаної територіальної громади</w:t>
      </w:r>
    </w:p>
    <w:p>
      <w:pPr>
        <w:pStyle w:val="Normal"/>
        <w:suppressAutoHyphens w:val="true"/>
        <w:rPr>
          <w:rFonts w:ascii="Times New Roman" w:hAnsi="Times New Roman" w:eastAsia="Lucida Sans Unicode" w:cs="Mangal"/>
          <w:b/>
          <w:b/>
          <w:bCs/>
          <w:color w:val="auto"/>
          <w:sz w:val="28"/>
          <w:szCs w:val="28"/>
          <w:lang w:val="uk-UA" w:eastAsia="zh-CN" w:bidi="hi-IN"/>
        </w:rPr>
      </w:pPr>
      <w:r>
        <w:rPr>
          <w:rFonts w:eastAsia="Lucida Sans Unicode" w:cs="Mangal" w:ascii="Times New Roman" w:hAnsi="Times New Roman"/>
          <w:b/>
          <w:bCs/>
          <w:color w:val="auto"/>
          <w:sz w:val="28"/>
          <w:szCs w:val="28"/>
          <w:lang w:val="uk-UA" w:eastAsia="zh-CN" w:bidi="hi-IN"/>
        </w:rPr>
      </w:r>
    </w:p>
    <w:p>
      <w:pPr>
        <w:pStyle w:val="Normal"/>
        <w:suppressAutoHyphens w:val="true"/>
        <w:rPr>
          <w:rFonts w:ascii="Times New Roman" w:hAnsi="Times New Roman" w:eastAsia="Lucida Sans Unicode" w:cs="Mangal"/>
          <w:color w:val="auto"/>
          <w:lang w:val="uk-UA" w:eastAsia="zh-CN" w:bidi="hi-IN"/>
        </w:rPr>
      </w:pPr>
      <w:r>
        <w:rPr>
          <w:rFonts w:eastAsia="Lucida Sans Unicode" w:cs="Mangal" w:ascii="Times New Roman" w:hAnsi="Times New Roman"/>
          <w:b/>
          <w:bCs/>
          <w:color w:val="auto"/>
          <w:sz w:val="28"/>
          <w:szCs w:val="28"/>
          <w:lang w:val="uk-UA" w:eastAsia="zh-CN" w:bidi="hi-IN"/>
        </w:rPr>
        <w:t>1. Загальні положення</w:t>
      </w:r>
    </w:p>
    <w:p>
      <w:pPr>
        <w:pStyle w:val="Normal"/>
        <w:numPr>
          <w:ilvl w:val="1"/>
          <w:numId w:val="8"/>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Дані правила проведення земляних робіт на території Мукачівської міської об’єднаної територіальної громади (далі – Правила) розроблені у відповідності до вимог Закону України «Про </w:t>
      </w:r>
      <w:r>
        <w:rPr>
          <w:rFonts w:eastAsia="Lucida Sans Unicode" w:cs="Mangal" w:ascii="Liberation Serif" w:hAnsi="Liberation Serif"/>
          <w:color w:val="auto"/>
          <w:sz w:val="28"/>
          <w:szCs w:val="28"/>
          <w:lang w:val="uk-UA" w:eastAsia="zh-CN" w:bidi="hi-IN"/>
        </w:rPr>
        <w:t>благоустрій населених пунктів»,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2013р. № 870</w:t>
      </w:r>
      <w:r>
        <w:rPr>
          <w:rFonts w:eastAsia="Lucida Sans Unicode" w:cs="Times New Roman" w:ascii="Times New Roman" w:hAnsi="Times New Roman"/>
          <w:color w:val="auto"/>
          <w:sz w:val="28"/>
          <w:szCs w:val="28"/>
          <w:lang w:val="uk-UA" w:eastAsia="zh-CN" w:bidi="hi-IN"/>
        </w:rPr>
        <w:t xml:space="preserve"> та спрямовані на врегулювання відносини пов’язаних з проведенням земляних робіт суб’єктами господарювання (юридичними особами та фізичними особами-підприємцями) на території </w:t>
      </w:r>
      <w:r>
        <w:rPr>
          <w:rFonts w:eastAsia="Lucida Sans Unicode" w:cs="Times New Roman" w:ascii="Times New Roman" w:hAnsi="Times New Roman"/>
          <w:color w:val="auto"/>
          <w:sz w:val="28"/>
          <w:lang w:val="uk-UA" w:eastAsia="zh-CN" w:bidi="hi-IN"/>
        </w:rPr>
        <w:t>Мукачівської міської об’єднаної територіальної громади</w:t>
      </w:r>
      <w:r>
        <w:rPr>
          <w:rFonts w:eastAsia="Lucida Sans Unicode" w:cs="Times New Roman" w:ascii="Times New Roman" w:hAnsi="Times New Roman"/>
          <w:color w:val="auto"/>
          <w:sz w:val="28"/>
          <w:szCs w:val="28"/>
          <w:lang w:val="uk-UA" w:eastAsia="zh-CN" w:bidi="hi-IN"/>
        </w:rPr>
        <w:t>.</w:t>
      </w:r>
    </w:p>
    <w:p>
      <w:pPr>
        <w:pStyle w:val="Normal"/>
        <w:numPr>
          <w:ilvl w:val="1"/>
          <w:numId w:val="8"/>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Дані правила Правила є обов'язковими до виконання для всіх підприємств, установ, організацій незалежно від їх форми власності та відомчого підпорядкування, фізичних осіб-підприємців, які здійснюють діяльність з будівництва, реконструкції, ремонту, експлуатації наземних і підземних інженерних мереж і споруд, шляхового покриття і зелених насаджень, розміщують споруди та пересувні елементи побутово-торговельного призначення, рекламоносіїв на території Мукачівської міської об’єднаної територіальної громади (далі – Мукачівської ОТГ).</w:t>
      </w:r>
    </w:p>
    <w:p>
      <w:pPr>
        <w:pStyle w:val="Normal"/>
        <w:numPr>
          <w:ilvl w:val="1"/>
          <w:numId w:val="8"/>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Поняття земляних робіт.</w:t>
      </w:r>
    </w:p>
    <w:p>
      <w:pPr>
        <w:pStyle w:val="Normal"/>
        <w:suppressAutoHyphens w:val="true"/>
        <w:ind w:firstLine="709"/>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i/>
          <w:iCs/>
          <w:color w:val="auto"/>
          <w:sz w:val="28"/>
          <w:szCs w:val="28"/>
          <w:lang w:val="uk-UA" w:eastAsia="zh-CN" w:bidi="hi-IN"/>
        </w:rPr>
        <w:t>Земляні роботи</w:t>
      </w:r>
      <w:r>
        <w:rPr>
          <w:rFonts w:eastAsia="Lucida Sans Unicode" w:cs="Times New Roman" w:ascii="Times New Roman" w:hAnsi="Times New Roman"/>
          <w:i/>
          <w:i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 xml:space="preserve">– це комплекс робіт пов'язаний з розробкою, переміщенням, укладанням та ущільненням ґрунту, розбиранням дорожнього покриття, покриття вулиць, площ, тротуарів. </w:t>
      </w:r>
    </w:p>
    <w:p>
      <w:pPr>
        <w:pStyle w:val="Normal"/>
        <w:suppressAutoHyphens w:val="true"/>
        <w:ind w:firstLine="709"/>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Також до земляних робіт відносяться:</w:t>
      </w:r>
    </w:p>
    <w:p>
      <w:pPr>
        <w:pStyle w:val="ListParagraph"/>
        <w:numPr>
          <w:ilvl w:val="0"/>
          <w:numId w:val="9"/>
        </w:numPr>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планові ремонтні роботи або будівництво міських</w:t>
      </w:r>
      <w:r>
        <w:rPr>
          <w:rFonts w:eastAsia="Lucida Sans Unicode" w:cs="Times New Roman" w:ascii="Times New Roman" w:hAnsi="Times New Roman"/>
          <w:i/>
          <w:i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мереж (водопроводу, водовідведення, зливової каналізації, газу, теплоносіїв, телефону, електропостачання;</w:t>
      </w:r>
    </w:p>
    <w:p>
      <w:pPr>
        <w:pStyle w:val="ListParagraph"/>
        <w:numPr>
          <w:ilvl w:val="0"/>
          <w:numId w:val="9"/>
        </w:numPr>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будівництво житлових будинків, допоміжних споруд, вигрібних ям, шахтних криниць, підвалів, сховищ нафти, газу, та ін., </w:t>
      </w:r>
    </w:p>
    <w:p>
      <w:pPr>
        <w:pStyle w:val="ListParagraph"/>
        <w:numPr>
          <w:ilvl w:val="0"/>
          <w:numId w:val="9"/>
        </w:numPr>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установки опор ліній електро-, радіопередач, контурних заземлень, рекламних носіїв, кіосків, павільйонів, огорожі;</w:t>
      </w:r>
    </w:p>
    <w:p>
      <w:pPr>
        <w:pStyle w:val="ListParagraph"/>
        <w:numPr>
          <w:ilvl w:val="0"/>
          <w:numId w:val="9"/>
        </w:numPr>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замощення тротуарів, входів до магазинів, закладів громадського харчування та ін., проведення гідроізоляцій зовнішніх стін будинків, </w:t>
      </w:r>
    </w:p>
    <w:p>
      <w:pPr>
        <w:pStyle w:val="Normal"/>
        <w:suppressAutoHyphens w:val="true"/>
        <w:ind w:right="20" w:firstLine="709"/>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i/>
          <w:color w:val="auto"/>
          <w:sz w:val="28"/>
          <w:szCs w:val="28"/>
          <w:lang w:val="uk-UA" w:eastAsia="zh-CN" w:bidi="hi-IN"/>
        </w:rPr>
        <w:t xml:space="preserve">Аварійно-відновлювальні земляні роботи – </w:t>
      </w:r>
      <w:r>
        <w:rPr>
          <w:rFonts w:eastAsia="Lucida Sans Unicode" w:cs="Times New Roman" w:ascii="Times New Roman" w:hAnsi="Times New Roman"/>
          <w:color w:val="auto"/>
          <w:sz w:val="28"/>
          <w:szCs w:val="28"/>
          <w:lang w:val="uk-UA" w:eastAsia="zh-CN" w:bidi="hi-IN"/>
        </w:rPr>
        <w:t>роботи з ліквідації наслідків небезпечної події техногенного характеру, що створюють або можуть створити на об'єкті або на території загрозу життю та здоров'ю людей, можуть призвести до руйнування будівель, споруд, обладнання, майна територіальної громади та громадян, порушення виробничого або транспортного процесу чи завдати шкоди довкіллю.</w:t>
      </w:r>
    </w:p>
    <w:p>
      <w:pPr>
        <w:pStyle w:val="Normal"/>
        <w:suppressAutoHyphens w:val="true"/>
        <w:ind w:right="20" w:firstLine="709"/>
        <w:jc w:val="both"/>
        <w:rPr>
          <w:lang w:val="uk-UA"/>
        </w:rPr>
      </w:pPr>
      <w:r>
        <w:rPr>
          <w:rFonts w:eastAsia="Lucida Sans Unicode" w:cs="Times New Roman" w:ascii="Times New Roman" w:hAnsi="Times New Roman"/>
          <w:b/>
          <w:i/>
          <w:color w:val="auto"/>
          <w:sz w:val="28"/>
          <w:szCs w:val="28"/>
          <w:lang w:val="uk-UA" w:eastAsia="zh-CN" w:bidi="hi-IN"/>
        </w:rPr>
        <w:t>Суб’єкт господарювання(виконавець робіт)</w:t>
      </w:r>
      <w:r>
        <w:rPr>
          <w:rFonts w:eastAsia="Lucida Sans Unicode" w:cs="Times New Roman" w:ascii="Times New Roman" w:hAnsi="Times New Roman"/>
          <w:color w:val="auto"/>
          <w:sz w:val="28"/>
          <w:szCs w:val="28"/>
          <w:lang w:val="uk-UA" w:eastAsia="zh-CN" w:bidi="hi-IN"/>
        </w:rPr>
        <w:t xml:space="preserve"> </w:t>
      </w:r>
      <w:r>
        <w:rPr>
          <w:rFonts w:eastAsia="Lucida Sans Unicode" w:cs="Times New Roman" w:ascii="Times New Roman" w:hAnsi="Times New Roman"/>
          <w:b/>
          <w:i/>
          <w:color w:val="auto"/>
          <w:sz w:val="28"/>
          <w:szCs w:val="28"/>
          <w:lang w:val="uk-UA" w:eastAsia="zh-CN" w:bidi="hi-IN"/>
        </w:rPr>
        <w:t>–</w:t>
      </w:r>
      <w:r>
        <w:rPr>
          <w:rFonts w:eastAsia="Lucida Sans Unicode" w:cs="Times New Roman" w:ascii="Times New Roman" w:hAnsi="Times New Roman"/>
          <w:color w:val="auto"/>
          <w:sz w:val="28"/>
          <w:szCs w:val="28"/>
          <w:lang w:val="uk-UA" w:eastAsia="zh-CN" w:bidi="hi-IN"/>
        </w:rPr>
        <w:t xml:space="preserve"> юридична особа, або фізична особа-підприємець, яка здійснює проведення земляних робіт, має відповідні дозволи та ліцензії на проведення такого виду робіт (дозволу Держгірпромнагляду на земляні роботи, які виконуються на глибині понад 2 м, в зоні підземних комунікацій чи під водою, належать до робіт підвищеної небезпеки) у відповідності до вимог чинного законодавства України.</w:t>
      </w:r>
    </w:p>
    <w:p>
      <w:pPr>
        <w:pStyle w:val="ListParagraph"/>
        <w:numPr>
          <w:ilvl w:val="1"/>
          <w:numId w:val="8"/>
        </w:numPr>
        <w:tabs>
          <w:tab w:val="clear" w:pos="709"/>
          <w:tab w:val="left" w:pos="567" w:leader="none"/>
        </w:tabs>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Земляні роботи на території Мукачівської ОТГ можуть виконуватись суб’єктами господарювання, які мають необхідні ліцензії на даний вид діяльності згідно вимог чинного законодавства України та на підставі дозволу на проведення земляних робіт, отриманого в порядку, встановленому розділом 2 даних Правил.</w:t>
      </w:r>
    </w:p>
    <w:p>
      <w:pPr>
        <w:pStyle w:val="ListParagraph"/>
        <w:numPr>
          <w:ilvl w:val="1"/>
          <w:numId w:val="8"/>
        </w:numPr>
        <w:tabs>
          <w:tab w:val="clear" w:pos="709"/>
          <w:tab w:val="left" w:pos="567" w:leader="none"/>
        </w:tabs>
        <w:suppressAutoHyphens w:val="true"/>
        <w:ind w:left="0" w:right="20" w:hanging="0"/>
        <w:jc w:val="both"/>
        <w:rPr>
          <w:color w:val="auto"/>
          <w:lang w:val="uk-UA"/>
        </w:rPr>
      </w:pPr>
      <w:r>
        <w:rPr>
          <w:rFonts w:eastAsia="Lucida Sans Unicode" w:cs="Times New Roman" w:ascii="Times New Roman" w:hAnsi="Times New Roman"/>
          <w:bCs/>
          <w:color w:val="auto"/>
          <w:sz w:val="28"/>
          <w:szCs w:val="28"/>
          <w:lang w:val="uk-UA" w:eastAsia="zh-CN" w:bidi="hi-IN"/>
        </w:rPr>
        <w:t>Контроль за дотриманням вимог даних Правил покладається на Управління муніципальної інспекції Мукачівської міської ради та Управління міського господарства Мукачівської міської ради.</w:t>
      </w:r>
    </w:p>
    <w:p>
      <w:pPr>
        <w:pStyle w:val="ListParagraph"/>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r>
    </w:p>
    <w:p>
      <w:pPr>
        <w:pStyle w:val="ListParagraph"/>
        <w:numPr>
          <w:ilvl w:val="0"/>
          <w:numId w:val="8"/>
        </w:numPr>
        <w:suppressAutoHyphens w:val="true"/>
        <w:ind w:left="360" w:right="20" w:hanging="360"/>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Порядок видачі дозволу на проведення</w:t>
      </w:r>
    </w:p>
    <w:p>
      <w:pPr>
        <w:pStyle w:val="ListParagraph"/>
        <w:suppressAutoHyphens w:val="true"/>
        <w:ind w:left="0" w:right="20" w:hanging="0"/>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земляних робіт на території Мукачівської ОТГ</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Цей Порядок встановлює процедуру видачі дозволів на проведення земляних робіт на території Мукачівської ОТГ (далі - дозвіл), або відмови в його видачі, переоформлення, видачі дублікатів, анулювання дозволів.</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Дія цього порядку поширюється на суб’єктів господарювання (юридичних осіб та фізичних осіб – підприємців), що здійснюють порушення об’єктів благоустрою, пов’язане з проведенням земляних та/або ремонтних робіт.</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Дозвіл не вимагається, якщо земляні та/або ремонтні роботи проводяться:</w:t>
      </w:r>
    </w:p>
    <w:p>
      <w:pPr>
        <w:pStyle w:val="ListParagraph"/>
        <w:suppressAutoHyphens w:val="true"/>
        <w:spacing w:before="0" w:after="120"/>
        <w:ind w:left="0" w:firstLine="709"/>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 особами, які мають документ, що посвідчує право власності або право користування земельною ділянкою, у тому числі право земельного сервітуту;</w:t>
      </w:r>
    </w:p>
    <w:p>
      <w:pPr>
        <w:pStyle w:val="ListParagraph"/>
        <w:suppressAutoHyphens w:val="true"/>
        <w:spacing w:before="0" w:after="120"/>
        <w:ind w:left="0" w:firstLine="709"/>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 у рамках підготовчих або будівельних робіт, право на проведення яких оформлене в установленому законодавством порядку.</w:t>
      </w:r>
    </w:p>
    <w:p>
      <w:pPr>
        <w:pStyle w:val="ListParagraph"/>
        <w:numPr>
          <w:ilvl w:val="1"/>
          <w:numId w:val="8"/>
        </w:numPr>
        <w:suppressAutoHyphens w:val="true"/>
        <w:spacing w:before="0" w:after="120"/>
        <w:ind w:left="0" w:hanging="0"/>
        <w:contextualSpacing/>
        <w:jc w:val="both"/>
        <w:rPr>
          <w:rFonts w:ascii="Times New Roman" w:hAnsi="Times New Roman" w:eastAsia="Calibri" w:cs="Times New Roman"/>
          <w:color w:val="auto"/>
          <w:sz w:val="28"/>
          <w:szCs w:val="28"/>
          <w:lang w:val="uk-UA" w:eastAsia="zh-CN" w:bidi="hi-IN"/>
        </w:rPr>
      </w:pPr>
      <w:r>
        <w:rPr>
          <w:rFonts w:eastAsia="Calibri" w:cs="Times New Roman" w:ascii="Times New Roman" w:hAnsi="Times New Roman"/>
          <w:color w:val="auto"/>
          <w:sz w:val="28"/>
          <w:szCs w:val="28"/>
          <w:lang w:val="uk-UA" w:eastAsia="zh-CN" w:bidi="hi-IN"/>
        </w:rPr>
        <w:t>Роботи з усунення наслідків аварій на об’єктах благоустрою розпочинаються негайно з обов'язковим подальшим повідомленням Управління міського господарства Мукачівської міської ради за формою визначеною Додатком 4 до даних Правил.</w:t>
      </w:r>
    </w:p>
    <w:p>
      <w:pPr>
        <w:pStyle w:val="ListParagraph"/>
        <w:numPr>
          <w:ilvl w:val="1"/>
          <w:numId w:val="8"/>
        </w:numPr>
        <w:suppressAutoHyphens w:val="true"/>
        <w:ind w:left="0" w:right="20" w:hanging="0"/>
        <w:jc w:val="both"/>
        <w:rPr>
          <w:color w:val="auto"/>
        </w:rPr>
      </w:pPr>
      <w:r>
        <w:rPr>
          <w:rFonts w:eastAsia="Lucida Sans Unicode" w:cs="Times New Roman" w:ascii="Times New Roman" w:hAnsi="Times New Roman"/>
          <w:bCs/>
          <w:color w:val="auto"/>
          <w:sz w:val="28"/>
          <w:szCs w:val="28"/>
          <w:lang w:val="uk-UA" w:eastAsia="zh-CN" w:bidi="hi-IN"/>
        </w:rPr>
        <w:t>Дозвіл на проведення земляних робіт на території Мукачівської ОТГ видається Управлінням міського господарства Мукачівської міської ради на підставі письмового звернення суб’єкта господарювання до Центру надання адміністративних послуг м. Мукачево (далі – ЦНАП). Дозвіл видається на роботи визначені додатком 2 до даних Правил.</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Для отримання дозволу, суб’єкт господарювання подає до ЦНАПу наступний пакет документів:</w:t>
      </w:r>
    </w:p>
    <w:p>
      <w:pPr>
        <w:pStyle w:val="ListParagraph"/>
        <w:numPr>
          <w:ilvl w:val="0"/>
          <w:numId w:val="9"/>
        </w:numPr>
        <w:suppressAutoHyphens w:val="true"/>
        <w:ind w:left="1069" w:right="20" w:hanging="36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письмова заява на отримання дозволу (за формою згідно додатку 1 до даних Правил);</w:t>
      </w:r>
    </w:p>
    <w:p>
      <w:pPr>
        <w:pStyle w:val="ListParagraph"/>
        <w:numPr>
          <w:ilvl w:val="0"/>
          <w:numId w:val="9"/>
        </w:numPr>
        <w:suppressAutoHyphens w:val="true"/>
        <w:jc w:val="both"/>
        <w:rPr>
          <w:color w:val="auto"/>
          <w:lang w:val="uk-UA"/>
        </w:rPr>
      </w:pPr>
      <w:r>
        <w:rPr>
          <w:rFonts w:eastAsia="Lucida Sans Unicode" w:cs="Times New Roman" w:ascii="Times New Roman" w:hAnsi="Times New Roman"/>
          <w:bCs/>
          <w:color w:val="auto"/>
          <w:sz w:val="28"/>
          <w:szCs w:val="28"/>
          <w:lang w:val="uk-UA" w:eastAsia="zh-CN" w:bidi="hi-IN"/>
        </w:rPr>
        <w:t>проектно-кошторисна документація на проведення робіт з врахуванням відновлювальних робіт, схема організації робіт, топо-</w:t>
      </w:r>
      <w:r>
        <w:rPr>
          <w:rFonts w:eastAsia="Lucida Sans Unicode" w:cs="Times New Roman" w:ascii="Times New Roman" w:hAnsi="Times New Roman"/>
          <w:color w:val="auto"/>
          <w:sz w:val="28"/>
          <w:szCs w:val="28"/>
          <w:lang w:val="uk-UA" w:eastAsia="zh-CN" w:bidi="hi-IN"/>
        </w:rPr>
        <w:t xml:space="preserve">геодезична зйомка, </w:t>
      </w:r>
      <w:r>
        <w:rPr>
          <w:rFonts w:eastAsia="Lucida Sans Unicode" w:cs="Times New Roman" w:ascii="Times New Roman" w:hAnsi="Times New Roman"/>
          <w:bCs/>
          <w:color w:val="auto"/>
          <w:sz w:val="28"/>
          <w:szCs w:val="28"/>
          <w:lang w:val="uk-UA" w:eastAsia="zh-CN" w:bidi="hi-IN"/>
        </w:rPr>
        <w:t>план-схемами розміщення мереж у електронному варіанті у форматах «</w:t>
      </w:r>
      <w:r>
        <w:rPr>
          <w:rFonts w:eastAsia="Lucida Sans Unicode" w:cs="Times New Roman" w:ascii="Times New Roman" w:hAnsi="Times New Roman"/>
          <w:bCs/>
          <w:color w:val="auto"/>
          <w:sz w:val="28"/>
          <w:szCs w:val="28"/>
          <w:lang w:val="en-US" w:eastAsia="zh-CN" w:bidi="hi-IN"/>
        </w:rPr>
        <w:t>DWG</w:t>
      </w:r>
      <w:r>
        <w:rPr>
          <w:rFonts w:eastAsia="Lucida Sans Unicode" w:cs="Times New Roman" w:ascii="Times New Roman" w:hAnsi="Times New Roman"/>
          <w:bCs/>
          <w:color w:val="auto"/>
          <w:sz w:val="28"/>
          <w:szCs w:val="28"/>
          <w:lang w:val="uk-UA" w:eastAsia="zh-CN" w:bidi="hi-IN"/>
        </w:rPr>
        <w:t>»  та «</w:t>
      </w:r>
      <w:r>
        <w:rPr>
          <w:rFonts w:eastAsia="Lucida Sans Unicode" w:cs="Times New Roman" w:ascii="Times New Roman" w:hAnsi="Times New Roman"/>
          <w:bCs/>
          <w:color w:val="auto"/>
          <w:sz w:val="28"/>
          <w:szCs w:val="28"/>
          <w:lang w:val="en-US" w:eastAsia="zh-CN" w:bidi="hi-IN"/>
        </w:rPr>
        <w:t>PDF</w:t>
      </w:r>
      <w:r>
        <w:rPr>
          <w:rFonts w:eastAsia="Lucida Sans Unicode" w:cs="Times New Roman" w:ascii="Times New Roman" w:hAnsi="Times New Roman"/>
          <w:bCs/>
          <w:color w:val="auto"/>
          <w:sz w:val="28"/>
          <w:szCs w:val="28"/>
          <w:lang w:val="uk-UA" w:eastAsia="zh-CN" w:bidi="hi-IN"/>
        </w:rPr>
        <w:t>».</w:t>
      </w:r>
    </w:p>
    <w:p>
      <w:pPr>
        <w:pStyle w:val="ListParagraph"/>
        <w:numPr>
          <w:ilvl w:val="0"/>
          <w:numId w:val="9"/>
        </w:numPr>
        <w:suppressAutoHyphens w:val="true"/>
        <w:jc w:val="both"/>
        <w:rPr>
          <w:color w:val="auto"/>
        </w:rPr>
      </w:pPr>
      <w:r>
        <w:rPr>
          <w:rFonts w:eastAsia="Lucida Sans Unicode" w:cs="Times New Roman" w:ascii="Times New Roman" w:hAnsi="Times New Roman"/>
          <w:bCs/>
          <w:color w:val="auto"/>
          <w:sz w:val="28"/>
          <w:szCs w:val="28"/>
          <w:lang w:val="uk-UA" w:eastAsia="zh-CN" w:bidi="hi-IN"/>
        </w:rPr>
        <w:t xml:space="preserve">копія документу на право власності на приміщення замовника робіт(свідоцтво про право власності, витяг з ЄДР речових прав на нерухоме майно) </w:t>
      </w:r>
    </w:p>
    <w:p>
      <w:pPr>
        <w:pStyle w:val="ListParagraph"/>
        <w:numPr>
          <w:ilvl w:val="0"/>
          <w:numId w:val="9"/>
        </w:numPr>
        <w:suppressAutoHyphens w:val="true"/>
        <w:jc w:val="both"/>
        <w:rPr>
          <w:color w:val="auto"/>
        </w:rPr>
      </w:pPr>
      <w:r>
        <w:rPr>
          <w:rFonts w:eastAsia="Lucida Sans Unicode" w:cs="Times New Roman" w:ascii="Times New Roman" w:hAnsi="Times New Roman"/>
          <w:bCs/>
          <w:color w:val="auto"/>
          <w:sz w:val="28"/>
          <w:szCs w:val="28"/>
          <w:lang w:val="uk-UA" w:eastAsia="zh-CN" w:bidi="hi-IN"/>
        </w:rPr>
        <w:t>документ про врегулювання земельних відносин замовника робіт (державний акт на землю, або договір сервітутного землекористування)</w:t>
      </w:r>
    </w:p>
    <w:p>
      <w:pPr>
        <w:pStyle w:val="ListParagraph"/>
        <w:numPr>
          <w:ilvl w:val="0"/>
          <w:numId w:val="9"/>
        </w:numPr>
        <w:suppressAutoHyphens w:val="true"/>
        <w:jc w:val="both"/>
        <w:rPr>
          <w:color w:val="auto"/>
        </w:rPr>
      </w:pPr>
      <w:r>
        <w:rPr>
          <w:rFonts w:eastAsia="Lucida Sans Unicode" w:cs="Times New Roman" w:ascii="Times New Roman" w:hAnsi="Times New Roman"/>
          <w:bCs/>
          <w:color w:val="auto"/>
          <w:sz w:val="28"/>
          <w:szCs w:val="28"/>
          <w:lang w:val="uk-UA" w:eastAsia="zh-CN" w:bidi="hi-IN"/>
        </w:rPr>
        <w:t xml:space="preserve">копія договору між замовником робіт і суб’єктом господарювання  </w:t>
      </w:r>
    </w:p>
    <w:p>
      <w:pPr>
        <w:pStyle w:val="ListParagraph"/>
        <w:numPr>
          <w:ilvl w:val="1"/>
          <w:numId w:val="8"/>
        </w:numPr>
        <w:suppressAutoHyphens w:val="true"/>
        <w:ind w:left="0" w:right="20" w:hanging="0"/>
        <w:jc w:val="both"/>
        <w:rPr>
          <w:color w:val="auto"/>
        </w:rPr>
      </w:pPr>
      <w:r>
        <w:rPr>
          <w:rFonts w:eastAsia="Lucida Sans Unicode" w:cs="Times New Roman" w:ascii="Times New Roman" w:hAnsi="Times New Roman"/>
          <w:bCs/>
          <w:color w:val="auto"/>
          <w:sz w:val="28"/>
          <w:szCs w:val="28"/>
          <w:lang w:val="uk-UA" w:eastAsia="zh-CN" w:bidi="hi-IN"/>
        </w:rPr>
        <w:t>Поданий пакет документів виноситься на розгляд технічної ради, для прийняття рішення, щодо видачі дозволу або відмови у видачі дозволу. На засідання технічної ради також запрошується представник суб’єкта господарювання.</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Для переоформлення, анулювання або видачі дубліката дозволу до ЦНАПу подається заява та дозвіл або його дублікат (крім випадку видачі дубліката у зв’язку з втратою).</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Строк дії дозволу визначається на засідання технічної ради з урахуванням умов проведення робіт та не може перевищувати один рік.</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Строк дії переоформленого дозволу не може перевищувати строк дії, зазначений у дозволі, що переоформлявся.</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Видача дозволу, його переоформлення, видача дубліката та анулювання дозволу здійснюються на безоплатній основі. Форма дозволу наведена у додатку 3 до даних Правил.</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Дозвіл видається протягом 10 робочих днів з дня реєстрації заяви.</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en-US"/>
        </w:rPr>
        <w:t>Переоформлений на новому бланку дозвіл з урахуванням змін, зазначених у заяві про його переоформлення та/або дублікат дозволу, видається протягом 2 робочих днів з дня одержання заяви про переоформлення/видачі дублікату дозволу.</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Підставою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особи-підприємця та/або їх місцезнаходження. Під час переоформлення дозволу проведення робіт не зупиняється.</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 xml:space="preserve">Підставою для видачі дубліката дозволу є втрата або пошкодження дозволу. </w:t>
      </w:r>
    </w:p>
    <w:p>
      <w:pPr>
        <w:pStyle w:val="ListParagraph"/>
        <w:numPr>
          <w:ilvl w:val="1"/>
          <w:numId w:val="8"/>
        </w:numPr>
        <w:suppressAutoHyphens w:val="true"/>
        <w:ind w:left="0" w:right="20" w:hanging="0"/>
        <w:jc w:val="both"/>
        <w:rPr>
          <w:color w:val="auto"/>
        </w:rPr>
      </w:pPr>
      <w:r>
        <w:rPr>
          <w:rFonts w:eastAsia="Lucida Sans Unicode" w:cs="Times New Roman" w:ascii="Times New Roman" w:hAnsi="Times New Roman"/>
          <w:bCs/>
          <w:color w:val="auto"/>
          <w:sz w:val="28"/>
          <w:szCs w:val="28"/>
          <w:lang w:val="uk-UA" w:eastAsia="zh-CN" w:bidi="hi-IN"/>
        </w:rPr>
        <w:t>Управління міського господарства  Мукачівської міської ради веде реєстри дозволів та повідомлень про проведення аварійно-відновлювальних робіт.</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Відмова у видачі дозволу видається заявнику в письмовій формі з відповідним обґрунтуванням у термін, передбачений для видачі дозволу.</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Підставою для відмови у видачі дозволу є невідповідність поданих документів вимогам законодавства, подання неповного пакета документів, виявлення в поданих документах, недостовірних відомостей, відмова балансоутримувача(ів) об’єктів та інженерних мереж на погодження виконання земляних та/або ремонтних робіт.</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Відмову у видачі дозволу може бути оскаржено в установленому чинним законодавством порядку.</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У разі коли у строк, установлений пунктом 2.12 цього Порядку, не видано дозвіл або відмову в його видачі, право проведення земляних робіт на об’єкті благоустрою виникає на десятий робочий день з дня закінчення зазначеного строку та вважається, що дозвіл видано.</w:t>
      </w:r>
    </w:p>
    <w:p>
      <w:pPr>
        <w:pStyle w:val="ListParagraph"/>
        <w:numPr>
          <w:ilvl w:val="1"/>
          <w:numId w:val="8"/>
        </w:numPr>
        <w:suppressAutoHyphens w:val="true"/>
        <w:ind w:left="0" w:right="20" w:hanging="0"/>
        <w:jc w:val="both"/>
        <w:rPr>
          <w:color w:val="auto"/>
        </w:rPr>
      </w:pPr>
      <w:r>
        <w:rPr>
          <w:rFonts w:eastAsia="Lucida Sans Unicode" w:cs="Times New Roman" w:ascii="Times New Roman" w:hAnsi="Times New Roman"/>
          <w:bCs/>
          <w:color w:val="auto"/>
          <w:sz w:val="28"/>
          <w:szCs w:val="28"/>
          <w:lang w:val="uk-UA" w:eastAsia="zh-CN" w:bidi="hi-IN"/>
        </w:rPr>
        <w:t>Дозвіл може бути анульовано Управлінням міського господарства Мукачівської міської ради у разі:</w:t>
      </w:r>
    </w:p>
    <w:p>
      <w:pPr>
        <w:pStyle w:val="Normal"/>
        <w:suppressAutoHyphens w:val="true"/>
        <w:ind w:right="20" w:firstLine="709"/>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  подання особою, яка отримала дозвіл, заяви про його анулювання та оригіналу дозволу або його дубліката;</w:t>
      </w:r>
    </w:p>
    <w:p>
      <w:pPr>
        <w:pStyle w:val="ListParagraph"/>
        <w:suppressAutoHyphens w:val="true"/>
        <w:ind w:left="0" w:right="20" w:firstLine="709"/>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 наявності відомостей про припинення юридичної особи або підприємницької діяльності фізичної особи - підприємця, що отримали дозвіл.</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Інформація про анулювання дозволу вноситься Управлінням міського господарства Мукачівської міської ради до реєстру дозволів.</w:t>
      </w:r>
    </w:p>
    <w:p>
      <w:pPr>
        <w:pStyle w:val="ListParagraph"/>
        <w:numPr>
          <w:ilvl w:val="1"/>
          <w:numId w:val="8"/>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Calibri" w:cs="Times New Roman" w:ascii="Times New Roman" w:hAnsi="Times New Roman"/>
          <w:color w:val="auto"/>
          <w:sz w:val="28"/>
          <w:szCs w:val="28"/>
          <w:lang w:val="uk-UA" w:eastAsia="zh-CN" w:bidi="hi-IN"/>
        </w:rPr>
        <w:t>У разі анулювання дозволу за заявою суб’єкта господарювання, який отримав  дозвіл, останній може отримати новий дозвіл відповідно до вимог цього Порядку.</w:t>
      </w:r>
    </w:p>
    <w:p>
      <w:pPr>
        <w:pStyle w:val="Normal"/>
        <w:suppressAutoHyphens w:val="true"/>
        <w:jc w:val="both"/>
        <w:rPr>
          <w:rFonts w:ascii="Times New Roman" w:hAnsi="Times New Roman" w:eastAsia="Lucida Sans Unicode" w:cs="Times New Roman"/>
          <w:b/>
          <w:b/>
          <w:bCs/>
          <w:color w:val="auto"/>
          <w:sz w:val="28"/>
          <w:szCs w:val="28"/>
          <w:lang w:eastAsia="zh-CN" w:bidi="hi-IN"/>
        </w:rPr>
      </w:pPr>
      <w:r>
        <w:rPr>
          <w:rFonts w:eastAsia="Lucida Sans Unicode" w:cs="Times New Roman" w:ascii="Times New Roman" w:hAnsi="Times New Roman"/>
          <w:b/>
          <w:bCs/>
          <w:color w:val="auto"/>
          <w:sz w:val="28"/>
          <w:szCs w:val="28"/>
          <w:lang w:eastAsia="zh-CN" w:bidi="hi-IN"/>
        </w:rPr>
      </w:r>
    </w:p>
    <w:p>
      <w:pPr>
        <w:pStyle w:val="ListParagraph"/>
        <w:numPr>
          <w:ilvl w:val="0"/>
          <w:numId w:val="8"/>
        </w:numPr>
        <w:suppressAutoHyphens w:val="true"/>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Обов’язки та зобов’язання суб’єкта господарювання перед виконанням земляних робіт на території Мукачівської ОТГ</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Для  здійснення  земляних  робіт,  які  проводяться  на  землях комунальної власності (вулицях, провулках, зелених зонах, площах і розташованих на них дорогах, тротуарах та ін.) - суб'єкти господарювання, які безпосередньо проводять роботи, повинні письмово звернутися до Центру надання адміністративних послуг для отримання дозволу на право проведення земляних робіт.</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При розробці проектно-кошторисної документації на проведення робіт, суб’єкт господарювання повинен врахувати відновлювальні роботи (відновлення дорожнього покриття, тротуарів, вулиць, зелених насаджень та ін.), або укласти окремий договір на проведення відновлювальних робіт з підприємством/установою/організацією. </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Проектна документація повинна бути погоджена власниками/ балансоутримувачами інженерних мереж, ліній зв’язку та комунікацій, які проходять на території, де планується проведення земляних робіт.</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При наявності на місці проведення земляних робіт інженерних мереж та комунікацій, роботи проводяться за присутності представників власника / балансоутримувача таких мереж / комунікацій.</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Суб’єкт господарювання повинен повідомити власників/ балансоутримувачів інженерних мереж та комунікацій не пізніше ніж за добу до початку проведення робіт та вказати дату і час початку проведення робіт, посаду та П.І.Б. відповідального виконавця робіт, контактний телефон.</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Якщо запрошені представники не з'явилися на місце робіт</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протягом години, потрібно викликати їх повторно. До їх прибуття виконання робіт забороняється. При повторній неявці на місце робіт представників власників інженерних мереж протягом години роботи виконуються згідно з кресленнями. Збитки за пошкодження мереж власникам не відшкодовуються.</w:t>
      </w:r>
    </w:p>
    <w:p>
      <w:pPr>
        <w:pStyle w:val="Normal"/>
        <w:numPr>
          <w:ilvl w:val="1"/>
          <w:numId w:val="3"/>
        </w:numPr>
        <w:suppressAutoHyphens w:val="true"/>
        <w:ind w:left="0" w:hanging="0"/>
        <w:jc w:val="both"/>
        <w:rPr>
          <w:color w:val="auto"/>
          <w:lang w:val="uk-UA"/>
        </w:rPr>
      </w:pPr>
      <w:r>
        <w:rPr>
          <w:rFonts w:eastAsia="Lucida Sans Unicode" w:cs="Times New Roman" w:ascii="Times New Roman" w:hAnsi="Times New Roman"/>
          <w:color w:val="auto"/>
          <w:sz w:val="28"/>
          <w:szCs w:val="28"/>
          <w:lang w:val="uk-UA" w:eastAsia="zh-CN" w:bidi="hi-IN"/>
        </w:rPr>
        <w:t>У випадку необхідності видалення зелених насаджень при проведенні земляних робіт, суб’єкт господарювання звертається до Управління міського господарства Мукачівської міської ради для проведення комісійного обстеження та складання акта, згідно якого суб’єкт господарювання відшкодовує суму відновної вартості зелених насаджень у відповідності до затвердженого Порядку видалення зелених насаджень на території міста Мукачево.</w:t>
      </w:r>
    </w:p>
    <w:p>
      <w:pPr>
        <w:pStyle w:val="Normal"/>
        <w:numPr>
          <w:ilvl w:val="1"/>
          <w:numId w:val="3"/>
        </w:numPr>
        <w:suppressAutoHyphens w:val="true"/>
        <w:ind w:left="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Безпосередньо на місці проведення робіт, суб’єкт господарювання повинен:</w:t>
      </w:r>
    </w:p>
    <w:p>
      <w:pPr>
        <w:pStyle w:val="Normal"/>
        <w:suppressAutoHyphens w:val="true"/>
        <w:ind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color w:val="auto"/>
          <w:sz w:val="28"/>
          <w:szCs w:val="28"/>
          <w:lang w:val="uk-UA" w:eastAsia="zh-CN" w:bidi="hi-IN"/>
        </w:rPr>
        <w:t>3.8.1</w:t>
      </w:r>
      <w:r>
        <w:rPr>
          <w:rFonts w:eastAsia="Lucida Sans Unicode" w:cs="Times New Roman" w:ascii="Times New Roman" w:hAnsi="Times New Roman"/>
          <w:color w:val="auto"/>
          <w:sz w:val="28"/>
          <w:szCs w:val="28"/>
          <w:lang w:val="uk-UA" w:eastAsia="zh-CN" w:bidi="hi-IN"/>
        </w:rPr>
        <w:t>. Встановити інформаційні таблички із зазначенням</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організації, яка виконує роботи, контактного номера телефону, прізвища і посади виконавця робіт, терміну їх початку і завершення.</w:t>
      </w:r>
    </w:p>
    <w:p>
      <w:pPr>
        <w:pStyle w:val="Normal"/>
        <w:suppressAutoHyphens w:val="true"/>
        <w:jc w:val="both"/>
        <w:rPr>
          <w:rFonts w:ascii="Times New Roman" w:hAnsi="Times New Roman" w:eastAsia="Lucida Sans Unicode" w:cs="Times New Roman"/>
          <w:color w:val="auto"/>
          <w:sz w:val="28"/>
          <w:szCs w:val="28"/>
          <w:lang w:val="uk-UA" w:eastAsia="zh-CN" w:bidi="hi-IN"/>
        </w:rPr>
      </w:pPr>
      <w:bookmarkStart w:id="1" w:name="page7"/>
      <w:bookmarkEnd w:id="1"/>
      <w:r>
        <w:rPr>
          <w:rFonts w:eastAsia="Lucida Sans Unicode" w:cs="Times New Roman" w:ascii="Times New Roman" w:hAnsi="Times New Roman"/>
          <w:b/>
          <w:bCs/>
          <w:color w:val="auto"/>
          <w:sz w:val="28"/>
          <w:szCs w:val="28"/>
          <w:lang w:val="uk-UA" w:eastAsia="zh-CN" w:bidi="hi-IN"/>
        </w:rPr>
        <w:t xml:space="preserve">3.8.2. </w:t>
      </w:r>
      <w:r>
        <w:rPr>
          <w:rFonts w:eastAsia="Lucida Sans Unicode" w:cs="Times New Roman" w:ascii="Times New Roman" w:hAnsi="Times New Roman"/>
          <w:color w:val="auto"/>
          <w:sz w:val="28"/>
          <w:szCs w:val="28"/>
          <w:lang w:val="uk-UA" w:eastAsia="zh-CN" w:bidi="hi-IN"/>
        </w:rPr>
        <w:t>Огородити місце проведення земляних робіт стандартними бар’єрами,</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облаштувати попереджувальними знаками стандартного зразка згідно правил проведення ремонтних робіт.</w:t>
      </w:r>
    </w:p>
    <w:p>
      <w:pPr>
        <w:pStyle w:val="Normal"/>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color w:val="auto"/>
          <w:sz w:val="28"/>
          <w:szCs w:val="28"/>
          <w:lang w:val="uk-UA" w:eastAsia="zh-CN" w:bidi="hi-IN"/>
        </w:rPr>
        <w:t>3.8.3.</w:t>
      </w:r>
      <w:r>
        <w:rPr>
          <w:rFonts w:eastAsia="Lucida Sans Unicode" w:cs="Times New Roman" w:ascii="Times New Roman" w:hAnsi="Times New Roman"/>
          <w:color w:val="auto"/>
          <w:sz w:val="28"/>
          <w:szCs w:val="28"/>
          <w:lang w:val="uk-UA" w:eastAsia="zh-CN" w:bidi="hi-IN"/>
        </w:rPr>
        <w:t xml:space="preserve"> При обмеженій видимості встановити кутові ліхтарі або</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огородити місце розкопування світловим сигналом жовтого кольору.</w:t>
      </w:r>
    </w:p>
    <w:p>
      <w:pPr>
        <w:pStyle w:val="Normal"/>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3.8.4.</w:t>
      </w:r>
      <w:r>
        <w:rPr>
          <w:rFonts w:eastAsia="Lucida Sans Unicode" w:cs="Times New Roman" w:ascii="Times New Roman" w:hAnsi="Times New Roman"/>
          <w:color w:val="auto"/>
          <w:sz w:val="28"/>
          <w:szCs w:val="28"/>
          <w:lang w:val="uk-UA" w:eastAsia="zh-CN" w:bidi="hi-IN"/>
        </w:rPr>
        <w:t xml:space="preserve"> У випадку необхідності часткового або повного перекриття руху по вулиці, в зв’язку з проведенням земляних робіт, суб’єкт господарювання розробляє схему об’їзду, погоджує її з Управлінням патрульної поліції в Закарпатській області та встановлює технічні засоби регулювання дорожнього руху в</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місці проведення робіт згідно з схемою.</w:t>
      </w:r>
    </w:p>
    <w:p>
      <w:pPr>
        <w:pStyle w:val="Normal"/>
        <w:suppressAutoHyphens w:val="true"/>
        <w:ind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3.9</w:t>
      </w:r>
      <w:r>
        <w:rPr>
          <w:rFonts w:eastAsia="Lucida Sans Unicode" w:cs="Times New Roman" w:ascii="Times New Roman" w:hAnsi="Times New Roman"/>
          <w:color w:val="auto"/>
          <w:sz w:val="28"/>
          <w:szCs w:val="28"/>
          <w:lang w:val="uk-UA" w:eastAsia="zh-CN" w:bidi="hi-IN"/>
        </w:rPr>
        <w:t>.  Доставляти будівельні матеріали, конструкції на місце робіт не</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раніше одного дня до початку робіт. Забороняється загромаджувати будівельними матеріалами проїзні частини вулиць, тротуари, зелені насадження.</w:t>
      </w:r>
    </w:p>
    <w:p>
      <w:pPr>
        <w:pStyle w:val="Normal"/>
        <w:suppressAutoHyphens w:val="true"/>
        <w:ind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r>
    </w:p>
    <w:p>
      <w:pPr>
        <w:pStyle w:val="ListParagraph"/>
        <w:numPr>
          <w:ilvl w:val="0"/>
          <w:numId w:val="4"/>
        </w:numPr>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Виконання земляних робіт.</w:t>
      </w:r>
    </w:p>
    <w:p>
      <w:pPr>
        <w:pStyle w:val="ListParagraph"/>
        <w:numPr>
          <w:ilvl w:val="1"/>
          <w:numId w:val="4"/>
        </w:numPr>
        <w:tabs>
          <w:tab w:val="clear" w:pos="709"/>
          <w:tab w:val="left" w:pos="0" w:leader="none"/>
        </w:tabs>
        <w:suppressAutoHyphens w:val="true"/>
        <w:ind w:left="0"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Виконання земляних робіт повинно здійснюватися у відповідності до вимог встановлених чинним законодавством державних стандартів, і норм, з дотриманням правил техніки безпеки та охорони праці суб’єктами господарювання, які мають необхідну дозвільну документацію та ліцензії на право проведення відповідних робіт.</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При виконанні земляних робіт, у виконавця робіт повинна бути в наявності проектно-технічна документація, дозвіл на проведення земляних робіт.</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Виконавець робіт зобов'язаний дотримуватися передбаченого проектом порядку, графіка та терміну виконання земляних робіт, забезпечити умови для безпечного руху транспорту і пішоходів згідно з вимогами «Правил дорожнього руху».</w:t>
      </w:r>
    </w:p>
    <w:p>
      <w:pPr>
        <w:pStyle w:val="Normal"/>
        <w:numPr>
          <w:ilvl w:val="1"/>
          <w:numId w:val="4"/>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Для руху пішоходів з обох сторін вулиці повинна залишатися смуга тротуару шириною не менше 1,25 м, в особливих випадках - одна сторона тротуару може бути зайнята повністю, але з обов'язковим збереженням руху пішоходів по всій ширині протилежного тротуару. </w:t>
      </w:r>
    </w:p>
    <w:p>
      <w:pPr>
        <w:pStyle w:val="Normal"/>
        <w:numPr>
          <w:ilvl w:val="1"/>
          <w:numId w:val="4"/>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Земляні роботи поблизу існуючих комунікацій та при їх перетині виконуються відповідно до вимог будівельних норм і правил. У місцях </w:t>
      </w:r>
      <w:bookmarkStart w:id="2" w:name="page11"/>
      <w:bookmarkEnd w:id="2"/>
      <w:r>
        <w:rPr>
          <w:rFonts w:eastAsia="Lucida Sans Unicode" w:cs="Times New Roman" w:ascii="Times New Roman" w:hAnsi="Times New Roman"/>
          <w:color w:val="auto"/>
          <w:sz w:val="28"/>
          <w:szCs w:val="28"/>
          <w:lang w:val="uk-UA" w:eastAsia="zh-CN" w:bidi="hi-IN"/>
        </w:rPr>
        <w:t>розкопок потрібно забезпечити заїзд в мікрорайони, двори, а також входи в приміщення, для чого виконавець зобов'язаний встановити перехідні пішохідні містки з поручнями, шириною не менше 0,75 м, з перилами висотою не менше 1 м, розраховані на навантаження не менше 400 кг на один погонний метр містка.</w:t>
      </w:r>
    </w:p>
    <w:p>
      <w:pPr>
        <w:pStyle w:val="ListParagraph"/>
        <w:numPr>
          <w:ilvl w:val="1"/>
          <w:numId w:val="4"/>
        </w:numPr>
        <w:ind w:left="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 xml:space="preserve">У зимовий період пішохідні містки через траншеї очищаються від снігу та льоду і посипаються піском організацією, яка виконує роботи. </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Розробка ґрунту в котлованах і траншеях при перетині ними підземних комунікацій дозволяється тільки після встановлення ручним шурфуванням фактичного місця розміщення цих комунікацій. </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При виявленні підземних комунікацій, що не вказані в проекті, виконавець робіт зобов'язаний повідомити про це відповідні експлуатаційні організації.</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Забороняється засипати землею та іншими сипучими матеріалами</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і сміттям кришки люків та камер на трасах підземних інженерних мереж і під'їздах до наземних споруд.</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При потребі тимчасового складування ґрунту та будівельних матеріалів в</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місцях розташування колодязів та зливової каналізації, їх необхідно відгородити і забезпечити підходи до них.</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 xml:space="preserve">Ґрунт, вийнятий з котлованів, траншей на проїжджу частину і тротуари, підлягає негайному вивезенню протягом дня. </w:t>
      </w:r>
    </w:p>
    <w:p>
      <w:pPr>
        <w:pStyle w:val="Normal"/>
        <w:numPr>
          <w:ilvl w:val="1"/>
          <w:numId w:val="4"/>
        </w:numPr>
        <w:suppressAutoHyphens w:val="true"/>
        <w:ind w:left="0"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При пошкодженні будь-якої споруди</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(комунікації) під час виконання робіт, виконавець зобов'язаний повідомити про це власника комунікації. Виконання робіт повинно бути зупинене до прибуття представника організації, яка експлуатує ці споруди. Ліквідація пошкоджень проводиться власником/балансоутримувачем споруд. Організації, які пошкодили споруди, виконують земляні роботи за вказівкою власника пошкоджених споруд і оплачують йому вартість ремонтних робіт.</w:t>
      </w:r>
    </w:p>
    <w:p>
      <w:pPr>
        <w:pStyle w:val="Normal"/>
        <w:numPr>
          <w:ilvl w:val="1"/>
          <w:numId w:val="4"/>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В разі необхідності виконання робіт з прокладання інженерних комунікацій та наявності висновків проектної організації про неможливість виконання робіт із застосуванням сучасних технологій безтраншейної прокладки мереж, дозвіл надається при умові укладанням договору з спеціалізованим підприємством на відновлення пошкодженого покриття та зелених насаджень після виконання робіт. </w:t>
      </w:r>
    </w:p>
    <w:p>
      <w:pPr>
        <w:pStyle w:val="Normal"/>
        <w:numPr>
          <w:ilvl w:val="1"/>
          <w:numId w:val="4"/>
        </w:numPr>
        <w:suppressAutoHyphens w:val="true"/>
        <w:ind w:left="0" w:right="20" w:hanging="0"/>
        <w:jc w:val="both"/>
        <w:rPr>
          <w:color w:val="auto"/>
          <w:lang w:val="uk-UA"/>
        </w:rPr>
      </w:pPr>
      <w:r>
        <w:rPr>
          <w:rFonts w:eastAsia="Lucida Sans Unicode" w:cs="Times New Roman" w:ascii="Times New Roman" w:hAnsi="Times New Roman"/>
          <w:bCs/>
          <w:color w:val="auto"/>
          <w:sz w:val="28"/>
          <w:szCs w:val="28"/>
          <w:lang w:val="uk-UA" w:eastAsia="zh-CN" w:bidi="hi-IN"/>
        </w:rPr>
        <w:t xml:space="preserve">Після завершення проведення земляних робіт, або завершення терміну дії дозволу на проведення земляних робіт, суб’єкт господарювання разом з представниками балансоутримувача доріг, зелених насаджень, Управління міського господарства Мукачівської міської ради, Управління муніципальної інспекції Мукачівської міської ради здійснюють комісійне обстеження місця проведення робіт </w:t>
      </w:r>
      <w:r>
        <w:rPr>
          <w:rFonts w:eastAsia="Lucida Sans Unicode" w:cs="Times New Roman" w:ascii="Times New Roman" w:hAnsi="Times New Roman"/>
          <w:color w:val="auto"/>
          <w:sz w:val="28"/>
          <w:szCs w:val="28"/>
          <w:lang w:val="uk-UA" w:eastAsia="zh-CN" w:bidi="hi-IN"/>
        </w:rPr>
        <w:t>для передачі балансоутримувачу об’єкта.</w:t>
      </w:r>
    </w:p>
    <w:p>
      <w:pPr>
        <w:pStyle w:val="Normal"/>
        <w:suppressAutoHyphens w:val="true"/>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r>
    </w:p>
    <w:p>
      <w:pPr>
        <w:pStyle w:val="ListParagraph"/>
        <w:numPr>
          <w:ilvl w:val="0"/>
          <w:numId w:val="4"/>
        </w:numPr>
        <w:suppressAutoHyphens w:val="true"/>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Проведення відновлювальних робіт</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Наявність договору на проведення відновлювальних робіт, або передбачення таких робіт в проектно-кошторисній документації є обов’язковою умовою для отримання дозволу на проведення земляних робіт.</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Термін проведення відновлювальних робіт</w:t>
      </w:r>
      <w:r>
        <w:rPr>
          <w:rFonts w:eastAsia="Lucida Sans Unicode" w:cs="Times New Roman" w:ascii="Times New Roman" w:hAnsi="Times New Roman"/>
          <w:color w:val="auto"/>
          <w:sz w:val="28"/>
          <w:szCs w:val="28"/>
          <w:lang w:val="uk-UA" w:eastAsia="zh-CN" w:bidi="hi-IN"/>
        </w:rPr>
        <w:t xml:space="preserve"> має складати не більше 10 календарних днів. </w:t>
      </w:r>
    </w:p>
    <w:p>
      <w:pPr>
        <w:pStyle w:val="Normal"/>
        <w:numPr>
          <w:ilvl w:val="1"/>
          <w:numId w:val="4"/>
        </w:numPr>
        <w:suppressAutoHyphens w:val="true"/>
        <w:ind w:left="0"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Відновлення дорожнього покриття, покриття площ, тротуарів проводиться згідно з технологією</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проведення робіт при стабільних температурах повітря не нижче +10</w:t>
      </w:r>
      <w:r>
        <w:rPr>
          <w:rFonts w:eastAsia="Lucida Sans Unicode" w:cs="Times New Roman" w:ascii="Times New Roman" w:hAnsi="Times New Roman"/>
          <w:color w:val="auto"/>
          <w:sz w:val="28"/>
          <w:szCs w:val="28"/>
          <w:vertAlign w:val="superscript"/>
          <w:lang w:val="uk-UA" w:eastAsia="zh-CN" w:bidi="hi-IN"/>
        </w:rPr>
        <w:t>o</w:t>
      </w:r>
      <w:r>
        <w:rPr>
          <w:rFonts w:eastAsia="Lucida Sans Unicode" w:cs="Times New Roman" w:ascii="Times New Roman" w:hAnsi="Times New Roman"/>
          <w:color w:val="auto"/>
          <w:sz w:val="28"/>
          <w:szCs w:val="28"/>
          <w:lang w:val="uk-UA" w:eastAsia="zh-CN" w:bidi="hi-IN"/>
        </w:rPr>
        <w:t xml:space="preserve"> С в осінній період.</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Після виконання робіт в осінньо-зимовий період замовник зобов'язаний утримувати місце розкопки в належному стані, по мірі потреби підсипати її щебнем та відсівом, а в місцях інтенсивного руху транспорту та на центральних вулицях – тимчасово відновити холодним асфальтом (або аналогічними технологіями).</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Cs/>
          <w:color w:val="auto"/>
          <w:sz w:val="28"/>
          <w:szCs w:val="28"/>
          <w:lang w:val="uk-UA" w:eastAsia="zh-CN" w:bidi="hi-IN"/>
        </w:rPr>
        <w:t>Суб’єкт господарювання при проведенні земляних робіт</w:t>
      </w:r>
      <w:r>
        <w:rPr>
          <w:rFonts w:eastAsia="Lucida Sans Unicode" w:cs="Times New Roman" w:ascii="Times New Roman" w:hAnsi="Times New Roman"/>
          <w:color w:val="auto"/>
          <w:sz w:val="28"/>
          <w:szCs w:val="28"/>
          <w:lang w:val="uk-UA" w:eastAsia="zh-CN" w:bidi="hi-IN"/>
        </w:rPr>
        <w:t xml:space="preserve"> на проїжджих частинах, тротуарах, внутрішньо квартальних проїздах, повинен дотримуватись технології засипки місць розкопки, а саме: </w:t>
      </w:r>
    </w:p>
    <w:p>
      <w:pPr>
        <w:pStyle w:val="Normal"/>
        <w:numPr>
          <w:ilvl w:val="0"/>
          <w:numId w:val="2"/>
        </w:numPr>
        <w:tabs>
          <w:tab w:val="clear" w:pos="709"/>
          <w:tab w:val="left" w:pos="889" w:leader="none"/>
        </w:tabs>
        <w:suppressAutoHyphens w:val="true"/>
        <w:ind w:left="0"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перед початком проведення земляних робіт асфальтобетонне покриття повинно обрізатись бензорізом; </w:t>
      </w:r>
    </w:p>
    <w:p>
      <w:pPr>
        <w:pStyle w:val="Normal"/>
        <w:numPr>
          <w:ilvl w:val="0"/>
          <w:numId w:val="2"/>
        </w:numPr>
        <w:tabs>
          <w:tab w:val="clear" w:pos="709"/>
          <w:tab w:val="left" w:pos="938" w:leader="none"/>
        </w:tabs>
        <w:suppressAutoHyphens w:val="true"/>
        <w:ind w:left="0" w:right="20" w:hanging="0"/>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ґрунт, вибраний з траншеї вивозиться повністю, а траншея на всю глибину засипається гравійно-піщаною сумішшю та щебнем з пошаровим трамбуванням і зволоженням. </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Засипання траншей після будівництва, реконструкції або ремонту підземних мереж та споруд може здійснюватися тільки після складання акта, підписаного представниками технагляду замовника та організації, яка буде утримувати ці підземні мережі та споруди.</w:t>
      </w:r>
    </w:p>
    <w:p>
      <w:pPr>
        <w:pStyle w:val="Normal"/>
        <w:numPr>
          <w:ilvl w:val="1"/>
          <w:numId w:val="4"/>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Засипання траншей та котлованів повинно здійснюватися з дотриманням технічних умов, проектно-кошторисної документації та заходів, що необхідні для збереження конструкцій та їх ізоляції.</w:t>
      </w:r>
    </w:p>
    <w:p>
      <w:pPr>
        <w:pStyle w:val="Normal"/>
        <w:numPr>
          <w:ilvl w:val="1"/>
          <w:numId w:val="4"/>
        </w:numPr>
        <w:suppressAutoHyphens w:val="true"/>
        <w:ind w:left="0" w:right="20" w:hanging="0"/>
        <w:jc w:val="both"/>
        <w:rPr>
          <w:rFonts w:ascii="Times New Roman" w:hAnsi="Times New Roman" w:eastAsia="Lucida Sans Unicode" w:cs="Times New Roman"/>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Після закінчення будівництва, реконструкції або ремонту підземних інженерних мереж та споруд, виконавець зобов'язаний до здачі траншеї під відновлення шляхового покриття або зелених насаджень, прибрати залишки ґрунту та сміття до складання акта і передачі розкопки під відновлення.</w:t>
      </w:r>
    </w:p>
    <w:p>
      <w:pPr>
        <w:pStyle w:val="Normal"/>
        <w:numPr>
          <w:ilvl w:val="1"/>
          <w:numId w:val="4"/>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Якщо засипання траншей здійснюється непридатним для цього матеріалом, або без необхідного його ущільнення, то представники Управління муніципальної інспекції Мукачівської міської ради разом з балансоутримувачем складається акт, на підставі якого суб’єкт господарювання, який отримав дозвіл, зобов'язаний негайно виправити вказані недоліки. У разі недотримання вимог цих Правил, дозвіл може бути анульований. </w:t>
      </w:r>
    </w:p>
    <w:p>
      <w:pPr>
        <w:pStyle w:val="Normal"/>
        <w:numPr>
          <w:ilvl w:val="1"/>
          <w:numId w:val="4"/>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Наступний дозвіл на виконання робіт одному і тому замовнику</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видається за умови відсутності зауважень та недоліків, дотримання вимог даних Правил, своєчасного та якісного проведення відновлювальних робіт.</w:t>
      </w:r>
    </w:p>
    <w:p>
      <w:pPr>
        <w:pStyle w:val="Normal"/>
        <w:suppressAutoHyphens w:val="true"/>
        <w:ind w:right="24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r>
    </w:p>
    <w:p>
      <w:pPr>
        <w:pStyle w:val="Normal"/>
        <w:suppressAutoHyphens w:val="true"/>
        <w:ind w:right="24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r>
    </w:p>
    <w:p>
      <w:pPr>
        <w:pStyle w:val="ListParagraph"/>
        <w:numPr>
          <w:ilvl w:val="0"/>
          <w:numId w:val="4"/>
        </w:numPr>
        <w:suppressAutoHyphens w:val="true"/>
        <w:ind w:left="435" w:right="240" w:hanging="435"/>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Аварійно-відновлювальні роботи</w:t>
      </w:r>
    </w:p>
    <w:p>
      <w:pPr>
        <w:pStyle w:val="ListParagraph"/>
        <w:suppressAutoHyphens w:val="true"/>
        <w:ind w:left="435" w:right="240" w:hanging="0"/>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на підземних інженерних мережах</w:t>
      </w:r>
    </w:p>
    <w:p>
      <w:pPr>
        <w:pStyle w:val="Normal"/>
        <w:numPr>
          <w:ilvl w:val="1"/>
          <w:numId w:val="5"/>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Після отримання повідомлення про аварію, власник мережі зобов'язаний викликати аварійну бригаду під керівництвом відповідальної особи і приступити до роботи, створивши безпечні умови для людей, руху транспорту, збереження розміщених поруч інженерних мереж. </w:t>
      </w:r>
    </w:p>
    <w:p>
      <w:pPr>
        <w:pStyle w:val="Normal"/>
        <w:numPr>
          <w:ilvl w:val="1"/>
          <w:numId w:val="5"/>
        </w:numPr>
        <w:suppressAutoHyphens w:val="true"/>
        <w:ind w:left="0" w:hanging="0"/>
        <w:jc w:val="both"/>
        <w:rPr>
          <w:color w:val="auto"/>
          <w:lang w:val="uk-UA"/>
        </w:rPr>
      </w:pPr>
      <w:r>
        <w:rPr>
          <w:rFonts w:eastAsia="Lucida Sans Unicode" w:cs="Times New Roman" w:ascii="Times New Roman" w:hAnsi="Times New Roman"/>
          <w:color w:val="auto"/>
          <w:sz w:val="28"/>
          <w:szCs w:val="28"/>
          <w:lang w:val="uk-UA" w:eastAsia="zh-CN" w:bidi="hi-IN"/>
        </w:rPr>
        <w:t>Одночасно з відправкою аварійної бригади необхідно повідомити телефоном про місце та характер аварії організації, які мають суміжні з місцем аварії комунікації, диспетчерський пункт Управління муніципальної інспекції Мукачівської міської ради, балансоутримувача доріг - ММКП «Ремонтно-будівельне управління», додатково при аварії на проїжджій частині - Управління патрульної поліції в Закарпатській області. Власник мережі зобов'язаний невідкладно повідомити Управління міського господарства Мукачівської міської ради про проведення аварійно-відновлювальних робіт за формою визначеною додатком 4 до даних Правил. У випадку виникнення аварійної ситуації в неробочий час або вихідний день – на наступний робочий день.</w:t>
      </w:r>
    </w:p>
    <w:p>
      <w:pPr>
        <w:pStyle w:val="Normal"/>
        <w:numPr>
          <w:ilvl w:val="1"/>
          <w:numId w:val="5"/>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Організації, що мають суміжні з місцем аварії комунікації, при отриманні телефонограми, зобов'язані негайно направити на місце аварії свого представника, який повинен вказати розміщення відповідних комунікацій і стежити за дотриманням встановленого порядку виконання робіт. </w:t>
      </w:r>
    </w:p>
    <w:p>
      <w:pPr>
        <w:pStyle w:val="Normal"/>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6.4</w:t>
      </w:r>
      <w:r>
        <w:rPr>
          <w:rFonts w:eastAsia="Lucida Sans Unicode" w:cs="Times New Roman" w:ascii="Times New Roman" w:hAnsi="Times New Roman"/>
          <w:color w:val="auto"/>
          <w:sz w:val="28"/>
          <w:szCs w:val="28"/>
          <w:lang w:val="uk-UA" w:eastAsia="zh-CN" w:bidi="hi-IN"/>
        </w:rPr>
        <w:t>.</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Засипку траншей та котлованів необхідно проводити гравійно-піщаною сумішшю або фракційним щебнем з відповідними пошаровими ущільненнями, товщина одного шару не більше 30см, із зволоженням.</w:t>
      </w:r>
    </w:p>
    <w:p>
      <w:pPr>
        <w:pStyle w:val="Normal"/>
        <w:suppressAutoHyphens w:val="true"/>
        <w:ind w:right="4"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color w:val="auto"/>
          <w:sz w:val="28"/>
          <w:szCs w:val="28"/>
          <w:lang w:val="uk-UA" w:eastAsia="zh-CN" w:bidi="hi-IN"/>
        </w:rPr>
        <w:t xml:space="preserve">6.5.  </w:t>
      </w:r>
      <w:r>
        <w:rPr>
          <w:rFonts w:eastAsia="Lucida Sans Unicode" w:cs="Times New Roman" w:ascii="Times New Roman" w:hAnsi="Times New Roman"/>
          <w:color w:val="auto"/>
          <w:sz w:val="28"/>
          <w:szCs w:val="28"/>
          <w:lang w:val="uk-UA" w:eastAsia="zh-CN" w:bidi="hi-IN"/>
        </w:rPr>
        <w:t xml:space="preserve"> Після закінчення ремонту підземних інженерних мереж і споруд та частковою засипкою, виконавець зобов'язаний: </w:t>
      </w:r>
    </w:p>
    <w:p>
      <w:pPr>
        <w:pStyle w:val="Normal"/>
        <w:suppressAutoHyphens w:val="true"/>
        <w:ind w:right="4" w:firstLine="709"/>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до здачі траншеї під відновлення шляхового покриття або зелених насаджень забрати залишки ґрунту та сміття;</w:t>
      </w:r>
    </w:p>
    <w:p>
      <w:pPr>
        <w:pStyle w:val="Normal"/>
        <w:suppressAutoHyphens w:val="true"/>
        <w:ind w:right="4" w:firstLine="709"/>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провести всі відновлювальні роботи в термін визначений п.5.2. даних Правил.</w:t>
      </w:r>
    </w:p>
    <w:p>
      <w:pPr>
        <w:pStyle w:val="Normal"/>
        <w:numPr>
          <w:ilvl w:val="1"/>
          <w:numId w:val="6"/>
        </w:numPr>
        <w:suppressAutoHyphens w:val="true"/>
        <w:ind w:left="0" w:right="4"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Організація, яка відновлювала покриття, зобов’язана після закінчення робіт негайно вивезти залишки матеріалів та будівельного сміття. </w:t>
      </w:r>
    </w:p>
    <w:p>
      <w:pPr>
        <w:pStyle w:val="Normal"/>
        <w:suppressAutoHyphens w:val="true"/>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r>
    </w:p>
    <w:p>
      <w:pPr>
        <w:pStyle w:val="Normal"/>
        <w:numPr>
          <w:ilvl w:val="0"/>
          <w:numId w:val="6"/>
        </w:numPr>
        <w:suppressAutoHyphens w:val="true"/>
        <w:ind w:left="0" w:hanging="0"/>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Гарантії</w:t>
      </w:r>
    </w:p>
    <w:p>
      <w:pPr>
        <w:pStyle w:val="Normal"/>
        <w:numPr>
          <w:ilvl w:val="1"/>
          <w:numId w:val="7"/>
        </w:numPr>
        <w:suppressAutoHyphens w:val="true"/>
        <w:ind w:left="0" w:right="4"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Якщо протягом одного року після виконання відновлення покриття з'являються впадини, просадки ґрунту або дорожнього покриття, організація, яка проводила роботи, виконує повторне замощення за власний рахунок.</w:t>
      </w:r>
    </w:p>
    <w:p>
      <w:pPr>
        <w:pStyle w:val="Normal"/>
        <w:numPr>
          <w:ilvl w:val="1"/>
          <w:numId w:val="7"/>
        </w:numPr>
        <w:suppressAutoHyphens w:val="true"/>
        <w:ind w:left="0" w:right="4" w:hanging="0"/>
        <w:jc w:val="both"/>
        <w:rPr>
          <w:color w:val="auto"/>
          <w:lang w:val="uk-UA"/>
        </w:rPr>
      </w:pPr>
      <w:r>
        <w:rPr>
          <w:rFonts w:eastAsia="Lucida Sans Unicode" w:cs="Times New Roman" w:ascii="Times New Roman" w:hAnsi="Times New Roman"/>
          <w:color w:val="auto"/>
          <w:kern w:val="2"/>
          <w:sz w:val="28"/>
          <w:szCs w:val="28"/>
          <w:lang w:val="uk-UA" w:eastAsia="zh-CN" w:bidi="hi-IN"/>
        </w:rPr>
        <w:t>У випадку проведення аварійно-відновлюваних робіт на підземних інженерних мережах, обов'язок по забезпеченню відновлення покриття покладається на суб'єкта господарювання, що проводив аварійно-відновлювальні роботи.</w:t>
      </w:r>
    </w:p>
    <w:p>
      <w:pPr>
        <w:pStyle w:val="Normal"/>
        <w:numPr>
          <w:ilvl w:val="1"/>
          <w:numId w:val="7"/>
        </w:numPr>
        <w:suppressAutoHyphens w:val="true"/>
        <w:ind w:left="0" w:right="4"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Виявлені недоліки протягом гарантійного терміну усуваються</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виконавцем робіт за власний рахунок впродовж 10-ти робочих днів після</w:t>
      </w:r>
      <w:bookmarkStart w:id="3" w:name="page17"/>
      <w:bookmarkEnd w:id="3"/>
      <w:r>
        <w:rPr>
          <w:rFonts w:eastAsia="Lucida Sans Unicode" w:cs="Times New Roman" w:ascii="Times New Roman" w:hAnsi="Times New Roman"/>
          <w:color w:val="auto"/>
          <w:sz w:val="28"/>
          <w:szCs w:val="28"/>
          <w:lang w:val="uk-UA" w:eastAsia="zh-CN" w:bidi="hi-IN"/>
        </w:rPr>
        <w:t xml:space="preserve"> складання дефектного акта представниками Управління муніципальної інспекції Мукачівської міської ради разом з балансоутримувачем. У випадку порушення термінів, виконавець сплачує пеню в розмірі подвійної облікової ставки НБУ вартості робіт за кожний день прострочення.</w:t>
      </w:r>
    </w:p>
    <w:p>
      <w:pPr>
        <w:pStyle w:val="Normal"/>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 xml:space="preserve">7.4. </w:t>
      </w:r>
      <w:r>
        <w:rPr>
          <w:rFonts w:eastAsia="Lucida Sans Unicode" w:cs="Times New Roman" w:ascii="Times New Roman" w:hAnsi="Times New Roman"/>
          <w:color w:val="auto"/>
          <w:sz w:val="28"/>
          <w:szCs w:val="28"/>
          <w:lang w:val="uk-UA" w:eastAsia="zh-CN" w:bidi="hi-IN"/>
        </w:rPr>
        <w:t>У разі порушення вимог щодо якості виконаних робіт, або пошкодження відновленого дорожнього покриття протягом</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гарантійного терміну, до виконавця робіт може бути застосований штраф у розмірі 20% від вартості неякісно виконаних робіт. Сплата штрафу не звільняє від усунення недоліків.</w:t>
      </w:r>
    </w:p>
    <w:p>
      <w:pPr>
        <w:pStyle w:val="Normal"/>
        <w:suppressAutoHyphens w:val="true"/>
        <w:jc w:val="both"/>
        <w:rPr>
          <w:rFonts w:ascii="Times New Roman" w:hAnsi="Times New Roman" w:eastAsia="Lucida Sans Unicode" w:cs="Times New Roman"/>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r>
    </w:p>
    <w:p>
      <w:pPr>
        <w:pStyle w:val="Normal"/>
        <w:numPr>
          <w:ilvl w:val="0"/>
          <w:numId w:val="7"/>
        </w:numPr>
        <w:suppressAutoHyphens w:val="true"/>
        <w:ind w:left="0" w:hanging="0"/>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b/>
          <w:bCs/>
          <w:color w:val="auto"/>
          <w:sz w:val="28"/>
          <w:szCs w:val="28"/>
          <w:lang w:val="uk-UA" w:eastAsia="zh-CN" w:bidi="hi-IN"/>
        </w:rPr>
        <w:t>Відповідальність за порушення правил</w:t>
      </w:r>
    </w:p>
    <w:p>
      <w:pPr>
        <w:pStyle w:val="Normal"/>
        <w:numPr>
          <w:ilvl w:val="1"/>
          <w:numId w:val="7"/>
        </w:numPr>
        <w:suppressAutoHyphens w:val="true"/>
        <w:ind w:left="0" w:right="2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Шкода, яка завдана внаслідок порушення Правил підлягає компенсації, як правило, в повному обсязі без застосування норм зниження розміру стягнення незалежно від сплати збору за проведення робіт, які визначаються на підставі затверджених в установленому порядку такс, методик, розрахунків щодо обрахування шкоди. </w:t>
      </w:r>
    </w:p>
    <w:p>
      <w:pPr>
        <w:pStyle w:val="Normal"/>
        <w:numPr>
          <w:ilvl w:val="1"/>
          <w:numId w:val="7"/>
        </w:numPr>
        <w:suppressAutoHyphens w:val="true"/>
        <w:ind w:left="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Відсутність  таких  такс,  методик,  розрахунків  не  може  бути підставою для відмови у компенсації шкоди. У такому разі шкода компенсується за фактичними витратами, на облаштування одного квадратного метра території міста або базової вартості одного квадратного метра землі на відновлення порушеного стану об’єкта.</w:t>
      </w:r>
    </w:p>
    <w:p>
      <w:pPr>
        <w:pStyle w:val="Normal"/>
        <w:numPr>
          <w:ilvl w:val="1"/>
          <w:numId w:val="7"/>
        </w:numPr>
        <w:suppressAutoHyphens w:val="true"/>
        <w:ind w:left="0" w:right="4"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У випадках пошкодження чи знищення елементів благоустрою при ліквідації аварії на інженерних мережах та інших об’єктах благоустрою; здійсненні ремонту інженерних мереж; прокладанні нових інженерних мереж; виконанні інших суспільно необхідних робіт, винна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відновлювальної вартості. </w:t>
      </w:r>
    </w:p>
    <w:p>
      <w:pPr>
        <w:pStyle w:val="Normal"/>
        <w:numPr>
          <w:ilvl w:val="1"/>
          <w:numId w:val="7"/>
        </w:numPr>
        <w:suppressAutoHyphens w:val="true"/>
        <w:ind w:left="0" w:right="80" w:hanging="0"/>
        <w:jc w:val="both"/>
        <w:rPr>
          <w:rFonts w:ascii="Times New Roman" w:hAnsi="Times New Roman" w:eastAsia="Lucida Sans Unicode" w:cs="Times New Roman"/>
          <w:b/>
          <w:b/>
          <w:bCs/>
          <w:color w:val="auto"/>
          <w:sz w:val="28"/>
          <w:szCs w:val="28"/>
          <w:lang w:val="uk-UA" w:eastAsia="zh-CN" w:bidi="hi-IN"/>
        </w:rPr>
      </w:pPr>
      <w:r>
        <w:rPr>
          <w:rFonts w:eastAsia="Lucida Sans Unicode" w:cs="Times New Roman" w:ascii="Times New Roman" w:hAnsi="Times New Roman"/>
          <w:color w:val="auto"/>
          <w:sz w:val="28"/>
          <w:szCs w:val="28"/>
          <w:lang w:val="uk-UA" w:eastAsia="zh-CN" w:bidi="hi-IN"/>
        </w:rPr>
        <w:t xml:space="preserve">У разі пошкодження чи знищення елементів благоустрою, що допущено балансоутримувачем у ході усунення аварії на власних інженерних мережах чи власних об’єктах, відновлювальні роботи проводяться за рахунок власника об’єкта благоустрою. </w:t>
      </w:r>
    </w:p>
    <w:p>
      <w:pPr>
        <w:pStyle w:val="Normal"/>
        <w:suppressAutoHyphens w:val="true"/>
        <w:jc w:val="both"/>
        <w:rPr>
          <w:color w:val="auto"/>
        </w:rPr>
      </w:pPr>
      <w:r>
        <w:rPr>
          <w:rFonts w:eastAsia="Lucida Sans Unicode" w:cs="Times New Roman" w:ascii="Times New Roman" w:hAnsi="Times New Roman"/>
          <w:b/>
          <w:bCs/>
          <w:color w:val="auto"/>
          <w:sz w:val="28"/>
          <w:szCs w:val="28"/>
          <w:lang w:val="uk-UA" w:eastAsia="zh-CN" w:bidi="hi-IN"/>
        </w:rPr>
        <w:t>8.5</w:t>
      </w:r>
      <w:r>
        <w:rPr>
          <w:rFonts w:eastAsia="Lucida Sans Unicode" w:cs="Times New Roman" w:ascii="Times New Roman" w:hAnsi="Times New Roman"/>
          <w:color w:val="auto"/>
          <w:sz w:val="28"/>
          <w:szCs w:val="28"/>
          <w:lang w:val="uk-UA" w:eastAsia="zh-CN" w:bidi="hi-IN"/>
        </w:rPr>
        <w:t>. Порушення Правил проведення земляних робіт на території</w:t>
      </w:r>
      <w:r>
        <w:rPr>
          <w:rFonts w:eastAsia="Lucida Sans Unicode" w:cs="Times New Roman" w:ascii="Times New Roman" w:hAnsi="Times New Roman"/>
          <w:b/>
          <w:bCs/>
          <w:color w:val="auto"/>
          <w:sz w:val="28"/>
          <w:szCs w:val="28"/>
          <w:lang w:val="uk-UA" w:eastAsia="zh-CN" w:bidi="hi-IN"/>
        </w:rPr>
        <w:t xml:space="preserve"> </w:t>
      </w:r>
      <w:r>
        <w:rPr>
          <w:rFonts w:eastAsia="Lucida Sans Unicode" w:cs="Times New Roman" w:ascii="Times New Roman" w:hAnsi="Times New Roman"/>
          <w:color w:val="auto"/>
          <w:sz w:val="28"/>
          <w:szCs w:val="28"/>
          <w:lang w:val="uk-UA" w:eastAsia="zh-CN" w:bidi="hi-IN"/>
        </w:rPr>
        <w:t>міста, а також недотримання цих Правил тягне за собою відповідальність передбачену правилам благоустрою даного населеного пункту.</w:t>
      </w:r>
    </w:p>
    <w:p>
      <w:pPr>
        <w:pStyle w:val="Normal"/>
        <w:suppressAutoHyphens w:val="true"/>
        <w:jc w:val="left"/>
        <w:rPr>
          <w:rFonts w:ascii="Times New Roman" w:hAnsi="Times New Roman" w:eastAsia="Lucida Sans Unicode" w:cs="Mangal"/>
          <w:color w:val="auto"/>
          <w:lang w:val="uk-UA" w:eastAsia="zh-CN" w:bidi="hi-IN"/>
        </w:rPr>
      </w:pPr>
      <w:r>
        <w:rPr>
          <w:rFonts w:eastAsia="Lucida Sans Unicode" w:cs="Mangal" w:ascii="Times New Roman" w:hAnsi="Times New Roman"/>
          <w:color w:val="auto"/>
          <w:lang w:val="uk-UA" w:eastAsia="zh-CN" w:bidi="hi-IN"/>
        </w:rPr>
      </w:r>
    </w:p>
    <w:p>
      <w:pPr>
        <w:pStyle w:val="Normal"/>
        <w:suppressAutoHyphens w:val="true"/>
        <w:jc w:val="left"/>
        <w:rPr>
          <w:rFonts w:ascii="Times New Roman" w:hAnsi="Times New Roman" w:eastAsia="Lucida Sans Unicode" w:cs="Mangal"/>
          <w:color w:val="auto"/>
          <w:lang w:val="uk-UA" w:eastAsia="zh-CN" w:bidi="hi-IN"/>
        </w:rPr>
      </w:pPr>
      <w:r>
        <w:rPr>
          <w:rFonts w:eastAsia="Lucida Sans Unicode" w:cs="Mangal" w:ascii="Times New Roman" w:hAnsi="Times New Roman"/>
          <w:color w:val="auto"/>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t>Керуючий справами</w:t>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t>виконавчого комітету</w:t>
      </w:r>
      <w:r>
        <w:rPr>
          <w:rFonts w:eastAsia="Lucida Sans Unicode" w:cs="Mangal" w:ascii="Times New Roman" w:hAnsi="Times New Roman"/>
          <w:color w:val="auto"/>
          <w:lang w:val="uk-UA" w:eastAsia="zh-CN" w:bidi="hi-IN"/>
        </w:rPr>
        <w:tab/>
        <w:t xml:space="preserve">      </w:t>
      </w:r>
      <w:r>
        <w:rPr>
          <w:rFonts w:eastAsia="Lucida Sans Unicode" w:cs="Mangal" w:ascii="Times New Roman" w:hAnsi="Times New Roman"/>
          <w:b/>
          <w:bCs/>
          <w:color w:val="auto"/>
          <w:sz w:val="26"/>
          <w:szCs w:val="26"/>
          <w:lang w:val="uk-UA" w:eastAsia="zh-CN" w:bidi="hi-IN"/>
        </w:rPr>
        <w:t>О. ЛЕНДЄЛ</w:t>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b/>
          <w:b/>
          <w:bCs/>
          <w:color w:val="auto"/>
          <w:sz w:val="26"/>
          <w:szCs w:val="26"/>
          <w:lang w:val="uk-UA" w:eastAsia="zh-CN" w:bidi="hi-IN"/>
        </w:rPr>
      </w:pPr>
      <w:r>
        <w:rPr>
          <w:rFonts w:eastAsia="Lucida Sans Unicode" w:cs="Mangal" w:ascii="Times New Roman" w:hAnsi="Times New Roman"/>
          <w:b/>
          <w:bCs/>
          <w:color w:val="auto"/>
          <w:sz w:val="26"/>
          <w:szCs w:val="26"/>
          <w:lang w:val="uk-UA" w:eastAsia="zh-CN" w:bidi="hi-IN"/>
        </w:rPr>
      </w:r>
    </w:p>
    <w:p>
      <w:pPr>
        <w:pStyle w:val="Normal"/>
        <w:tabs>
          <w:tab w:val="clear" w:pos="709"/>
          <w:tab w:val="left" w:pos="7780" w:leader="none"/>
        </w:tabs>
        <w:suppressAutoHyphens w:val="true"/>
        <w:jc w:val="left"/>
        <w:rPr>
          <w:rFonts w:ascii="Times New Roman" w:hAnsi="Times New Roman" w:eastAsia="Lucida Sans Unicode" w:cs="Mangal"/>
          <w:color w:val="auto"/>
          <w:lang w:val="uk-UA" w:eastAsia="zh-CN" w:bidi="hi-IN"/>
        </w:rPr>
      </w:pPr>
      <w:r>
        <w:rPr>
          <w:rFonts w:eastAsia="Lucida Sans Unicode" w:cs="Mangal" w:ascii="Times New Roman" w:hAnsi="Times New Roman"/>
          <w:color w:val="auto"/>
          <w:lang w:val="uk-UA" w:eastAsia="zh-CN" w:bidi="hi-IN"/>
        </w:rPr>
      </w:r>
    </w:p>
    <w:p>
      <w:pPr>
        <w:pStyle w:val="Normal"/>
        <w:suppressAutoHyphens w:val="true"/>
        <w:jc w:val="left"/>
        <w:rPr>
          <w:rFonts w:ascii="Times New Roman" w:hAnsi="Times New Roman" w:eastAsia="Lucida Sans Unicode" w:cs="Mangal"/>
          <w:color w:val="auto"/>
          <w:lang w:val="uk-UA" w:eastAsia="zh-CN" w:bidi="hi-IN"/>
        </w:rPr>
      </w:pPr>
      <w:r>
        <w:rPr>
          <w:rFonts w:eastAsia="Lucida Sans Unicode" w:cs="Mangal" w:ascii="Times New Roman" w:hAnsi="Times New Roman"/>
          <w:color w:val="auto"/>
          <w:lang w:val="uk-UA" w:eastAsia="zh-CN" w:bidi="hi-IN"/>
        </w:rPr>
      </w:r>
    </w:p>
    <w:p>
      <w:pPr>
        <w:pStyle w:val="Normal"/>
        <w:widowControl/>
        <w:jc w:val="left"/>
        <w:rPr>
          <w:rFonts w:ascii="Times New Roman" w:hAnsi="Times New Roman" w:cs="Mangal"/>
          <w:color w:val="auto"/>
          <w:lang w:val="uk-UA" w:bidi="hi-IN"/>
        </w:rPr>
      </w:pPr>
      <w:r>
        <w:rPr>
          <w:rFonts w:cs="Mangal" w:ascii="Times New Roman" w:hAnsi="Times New Roman"/>
          <w:color w:val="auto"/>
          <w:lang w:val="uk-UA" w:bidi="hi-IN"/>
        </w:rPr>
      </w:r>
      <w:r>
        <w:br w:type="page"/>
      </w: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r>
        <w:rPr>
          <w:rFonts w:cs="Mangal" w:ascii="Times New Roman" w:hAnsi="Times New Roman"/>
          <w:color w:val="auto"/>
          <w:lang w:val="uk-UA" w:bidi="hi-IN"/>
        </w:rPr>
        <w:t>Додаток 1</w:t>
      </w: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r>
        <w:rPr>
          <w:rFonts w:cs="Mangal" w:ascii="Times New Roman" w:hAnsi="Times New Roman"/>
          <w:color w:val="auto"/>
          <w:lang w:val="uk-UA" w:bidi="hi-IN"/>
        </w:rPr>
        <w:t>до Правил проведення земляних робіт на території Мукачівської міської об’єднаної територіальної громади</w:t>
      </w:r>
    </w:p>
    <w:tbl>
      <w:tblPr>
        <w:tblW w:w="3200" w:type="pct"/>
        <w:jc w:val="left"/>
        <w:tblInd w:w="3227" w:type="dxa"/>
        <w:tblCellMar>
          <w:top w:w="0" w:type="dxa"/>
          <w:left w:w="108" w:type="dxa"/>
          <w:bottom w:w="0" w:type="dxa"/>
          <w:right w:w="108" w:type="dxa"/>
        </w:tblCellMar>
        <w:tblLook w:firstRow="1" w:noVBand="0" w:lastRow="1" w:firstColumn="1" w:lastColumn="1" w:noHBand="0" w:val="01e0"/>
      </w:tblPr>
      <w:tblGrid>
        <w:gridCol w:w="6168"/>
      </w:tblGrid>
      <w:tr>
        <w:trPr/>
        <w:tc>
          <w:tcPr>
            <w:tcW w:w="6168" w:type="dxa"/>
            <w:tcBorders/>
            <w:shd w:color="auto" w:fill="auto" w:val="clear"/>
          </w:tcPr>
          <w:p>
            <w:pPr>
              <w:pStyle w:val="Normal"/>
              <w:suppressAutoHyphens w:val="true"/>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 xml:space="preserve">           </w:t>
            </w:r>
            <w:r>
              <w:rPr>
                <w:rFonts w:eastAsia="Lucida Sans Unicode" w:cs="Mangal" w:ascii="Liberation Serif" w:hAnsi="Liberation Serif"/>
                <w:color w:val="auto"/>
                <w:lang w:val="uk-UA" w:bidi="hi-IN"/>
              </w:rPr>
              <w:t xml:space="preserve">Начальнику Управління міського господарства                   </w:t>
            </w:r>
          </w:p>
          <w:p>
            <w:pPr>
              <w:pStyle w:val="Normal"/>
              <w:suppressAutoHyphens w:val="true"/>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 xml:space="preserve">           </w:t>
            </w:r>
            <w:r>
              <w:rPr>
                <w:rFonts w:eastAsia="Lucida Sans Unicode" w:cs="Mangal" w:ascii="Liberation Serif" w:hAnsi="Liberation Serif"/>
                <w:color w:val="auto"/>
                <w:lang w:val="uk-UA" w:bidi="hi-IN"/>
              </w:rPr>
              <w:t>Мукачівської міської ради</w:t>
            </w:r>
          </w:p>
          <w:p>
            <w:pPr>
              <w:pStyle w:val="Normal"/>
              <w:suppressAutoHyphens w:val="true"/>
              <w:spacing w:before="120" w:after="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w:t>
            </w:r>
            <w:r>
              <w:rPr>
                <w:rFonts w:eastAsia="Lucida Sans Unicode" w:cs="Mangal" w:ascii="Liberation Serif" w:hAnsi="Liberation Serif"/>
                <w:color w:val="auto"/>
                <w:lang w:bidi="hi-IN"/>
              </w:rPr>
              <w:t>__________</w:t>
            </w:r>
            <w:r>
              <w:rPr>
                <w:rFonts w:eastAsia="Lucida Sans Unicode" w:cs="Mangal" w:ascii="Liberation Serif" w:hAnsi="Liberation Serif"/>
                <w:color w:val="auto"/>
                <w:lang w:val="uk-UA" w:bidi="hi-IN"/>
              </w:rPr>
              <w:t>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sz w:val="26"/>
                <w:szCs w:val="28"/>
                <w:vertAlign w:val="superscript"/>
                <w:lang w:val="uk-UA" w:bidi="hi-IN"/>
              </w:rPr>
              <w:t>(найменування виконавчого органу  міської ради, якому подається заява)</w:t>
            </w:r>
          </w:p>
        </w:tc>
      </w:tr>
      <w:tr>
        <w:trPr/>
        <w:tc>
          <w:tcPr>
            <w:tcW w:w="6168" w:type="dxa"/>
            <w:tcBorders/>
            <w:shd w:color="auto" w:fill="auto" w:val="clear"/>
          </w:tcPr>
          <w:p>
            <w:pPr>
              <w:pStyle w:val="Normal"/>
              <w:suppressAutoHyphens w:val="true"/>
              <w:spacing w:lineRule="atLeast" w:line="10" w:before="120" w:after="0"/>
              <w:ind w:left="1093" w:hanging="1093"/>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Заявник:</w:t>
            </w:r>
          </w:p>
          <w:p>
            <w:pPr>
              <w:pStyle w:val="Normal"/>
              <w:suppressAutoHyphens w:val="true"/>
              <w:spacing w:lineRule="atLeast" w:line="10" w:before="120" w:after="0"/>
              <w:ind w:left="1093" w:hanging="1093"/>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w:t>
            </w:r>
            <w:r>
              <w:rPr>
                <w:rFonts w:eastAsia="Lucida Sans Unicode" w:cs="Mangal" w:ascii="Liberation Serif" w:hAnsi="Liberation Serif"/>
                <w:color w:val="auto"/>
                <w:lang w:bidi="hi-IN"/>
              </w:rPr>
              <w:t>___________</w:t>
            </w:r>
            <w:r>
              <w:rPr>
                <w:rFonts w:eastAsia="Lucida Sans Unicode" w:cs="Mangal" w:ascii="Liberation Serif" w:hAnsi="Liberation Serif"/>
                <w:color w:val="auto"/>
                <w:lang w:val="uk-UA" w:bidi="hi-IN"/>
              </w:rPr>
              <w:t>______</w:t>
            </w:r>
            <w:r>
              <w:rPr>
                <w:rFonts w:eastAsia="Lucida Sans Unicode" w:cs="Mangal" w:ascii="Liberation Serif" w:hAnsi="Liberation Serif"/>
                <w:color w:val="auto"/>
                <w:lang w:bidi="hi-IN"/>
              </w:rPr>
              <w:br/>
            </w:r>
            <w:r>
              <w:rPr>
                <w:rFonts w:eastAsia="Lucida Sans Unicode" w:cs="Mangal" w:ascii="Liberation Serif" w:hAnsi="Liberation Serif"/>
                <w:color w:val="auto"/>
                <w:sz w:val="20"/>
                <w:szCs w:val="20"/>
                <w:lang w:val="uk-UA" w:bidi="hi-IN"/>
              </w:rPr>
              <w:t>(найменування юридичної особи, прізвище,</w:t>
            </w:r>
          </w:p>
          <w:p>
            <w:pPr>
              <w:pStyle w:val="Normal"/>
              <w:suppressAutoHyphens w:val="true"/>
              <w:spacing w:lineRule="atLeast" w:line="10" w:before="120" w:after="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w:t>
              <w:br/>
            </w:r>
            <w:r>
              <w:rPr>
                <w:rFonts w:eastAsia="Lucida Sans Unicode" w:cs="Mangal" w:ascii="Liberation Serif" w:hAnsi="Liberation Serif"/>
                <w:color w:val="auto"/>
                <w:sz w:val="20"/>
                <w:szCs w:val="20"/>
                <w:lang w:val="uk-UA" w:bidi="hi-IN"/>
              </w:rPr>
              <w:t>ім’я та по батькові фізичної особи - підприємця, їх</w:t>
            </w:r>
          </w:p>
          <w:p>
            <w:pPr>
              <w:pStyle w:val="Normal"/>
              <w:suppressAutoHyphens w:val="true"/>
              <w:spacing w:lineRule="atLeast" w:line="10" w:before="120" w:after="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w:t>
            </w:r>
            <w:r>
              <w:rPr>
                <w:rFonts w:eastAsia="Lucida Sans Unicode" w:cs="Mangal" w:ascii="Liberation Serif" w:hAnsi="Liberation Serif"/>
                <w:color w:val="auto"/>
                <w:lang w:bidi="hi-IN"/>
              </w:rPr>
              <w:t>__________</w:t>
            </w:r>
            <w:r>
              <w:rPr>
                <w:rFonts w:eastAsia="Lucida Sans Unicode" w:cs="Mangal" w:ascii="Liberation Serif" w:hAnsi="Liberation Serif"/>
                <w:color w:val="auto"/>
                <w:lang w:val="uk-UA" w:bidi="hi-IN"/>
              </w:rPr>
              <w:t>_________</w:t>
            </w:r>
            <w:r>
              <w:rPr>
                <w:rFonts w:eastAsia="Lucida Sans Unicode" w:cs="Mangal" w:ascii="Liberation Serif" w:hAnsi="Liberation Serif"/>
                <w:color w:val="auto"/>
                <w:lang w:bidi="hi-IN"/>
              </w:rPr>
              <w:br/>
            </w:r>
            <w:r>
              <w:rPr>
                <w:rFonts w:eastAsia="Lucida Sans Unicode" w:cs="Mangal" w:ascii="Liberation Serif" w:hAnsi="Liberation Serif"/>
                <w:color w:val="auto"/>
                <w:sz w:val="20"/>
                <w:szCs w:val="20"/>
                <w:lang w:val="uk-UA" w:bidi="hi-IN"/>
              </w:rPr>
              <w:t>місцезнаходження, контактний номер телефону)</w:t>
            </w:r>
          </w:p>
        </w:tc>
      </w:tr>
    </w:tbl>
    <w:p>
      <w:pPr>
        <w:pStyle w:val="Normal"/>
        <w:suppressAutoHyphens w:val="true"/>
        <w:spacing w:lineRule="atLeast" w:line="10"/>
        <w:rPr>
          <w:rFonts w:ascii="Liberation Serif" w:hAnsi="Liberation Serif" w:eastAsia="Lucida Sans Unicode" w:cs="Mangal"/>
          <w:color w:val="auto"/>
          <w:sz w:val="16"/>
          <w:szCs w:val="16"/>
          <w:lang w:bidi="hi-IN"/>
        </w:rPr>
      </w:pPr>
      <w:r>
        <w:rPr>
          <w:rFonts w:eastAsia="Lucida Sans Unicode" w:cs="Mangal" w:ascii="Liberation Serif" w:hAnsi="Liberation Serif"/>
          <w:color w:val="auto"/>
          <w:sz w:val="16"/>
          <w:szCs w:val="16"/>
          <w:lang w:bidi="hi-IN"/>
        </w:rPr>
      </w:r>
    </w:p>
    <w:p>
      <w:pPr>
        <w:pStyle w:val="Normal"/>
        <w:suppressAutoHyphens w:val="true"/>
        <w:spacing w:lineRule="atLeast" w:line="10"/>
        <w:rPr>
          <w:rFonts w:ascii="Liberation Serif" w:hAnsi="Liberation Serif" w:eastAsia="Lucida Sans Unicode" w:cs="Mangal"/>
          <w:color w:val="auto"/>
          <w:sz w:val="28"/>
          <w:szCs w:val="28"/>
          <w:lang w:val="uk-UA" w:bidi="hi-IN"/>
        </w:rPr>
      </w:pPr>
      <w:r>
        <w:rPr>
          <w:rFonts w:eastAsia="Lucida Sans Unicode" w:cs="Mangal" w:ascii="Liberation Serif" w:hAnsi="Liberation Serif"/>
          <w:color w:val="auto"/>
          <w:sz w:val="28"/>
          <w:szCs w:val="28"/>
          <w:lang w:val="uk-UA" w:bidi="hi-IN"/>
        </w:rPr>
      </w:r>
    </w:p>
    <w:p>
      <w:pPr>
        <w:pStyle w:val="Normal"/>
        <w:suppressAutoHyphens w:val="true"/>
        <w:spacing w:lineRule="atLeast" w:line="10"/>
        <w:rPr>
          <w:rFonts w:ascii="Liberation Serif" w:hAnsi="Liberation Serif" w:eastAsia="Lucida Sans Unicode" w:cs="Mangal"/>
          <w:b/>
          <w:b/>
          <w:color w:val="auto"/>
          <w:sz w:val="28"/>
          <w:szCs w:val="28"/>
          <w:lang w:val="uk-UA" w:bidi="hi-IN"/>
        </w:rPr>
      </w:pPr>
      <w:r>
        <w:rPr>
          <w:rFonts w:eastAsia="Lucida Sans Unicode" w:cs="Mangal" w:ascii="Liberation Serif" w:hAnsi="Liberation Serif"/>
          <w:b/>
          <w:color w:val="auto"/>
          <w:sz w:val="28"/>
          <w:szCs w:val="28"/>
          <w:lang w:val="uk-UA" w:bidi="hi-IN"/>
        </w:rPr>
        <w:t>ЗАЯВА</w:t>
      </w:r>
    </w:p>
    <w:p>
      <w:pPr>
        <w:pStyle w:val="Normal"/>
        <w:suppressAutoHyphens w:val="true"/>
        <w:spacing w:lineRule="atLeast" w:line="10"/>
        <w:rPr>
          <w:rFonts w:ascii="Liberation Serif" w:hAnsi="Liberation Serif" w:eastAsia="Lucida Sans Unicode" w:cs="Mangal"/>
          <w:color w:val="auto"/>
          <w:sz w:val="28"/>
          <w:szCs w:val="28"/>
          <w:lang w:val="uk-UA" w:bidi="hi-IN"/>
        </w:rPr>
      </w:pPr>
      <w:r>
        <w:rPr>
          <w:rFonts w:eastAsia="Lucida Sans Unicode" w:cs="Mangal" w:ascii="Liberation Serif" w:hAnsi="Liberation Serif"/>
          <w:color w:val="auto"/>
          <w:sz w:val="28"/>
          <w:szCs w:val="28"/>
          <w:lang w:val="uk-UA" w:bidi="hi-IN"/>
        </w:rPr>
      </w:r>
    </w:p>
    <w:p>
      <w:pPr>
        <w:pStyle w:val="Normal"/>
        <w:suppressAutoHyphens w:val="true"/>
        <w:spacing w:lineRule="atLeast" w:line="10"/>
        <w:ind w:firstLine="567"/>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Відповідно до статті 26</w:t>
      </w:r>
      <w:r>
        <w:rPr>
          <w:rFonts w:eastAsia="Lucida Sans Unicode" w:cs="Mangal" w:ascii="Liberation Serif" w:hAnsi="Liberation Serif"/>
          <w:color w:val="auto"/>
          <w:vertAlign w:val="superscript"/>
          <w:lang w:val="uk-UA" w:bidi="hi-IN"/>
        </w:rPr>
        <w:t>1</w:t>
      </w:r>
      <w:r>
        <w:rPr>
          <w:rFonts w:eastAsia="Lucida Sans Unicode" w:cs="Mangal" w:ascii="Liberation Serif" w:hAnsi="Liberation Serif"/>
          <w:color w:val="auto"/>
          <w:lang w:val="uk-UA" w:bidi="hi-IN"/>
        </w:rPr>
        <w:t xml:space="preserve">  Закону України  «Про благоустрій населених пунктів»  та </w:t>
      </w:r>
      <w:r>
        <w:rPr>
          <w:rFonts w:cs="Mangal" w:ascii="Times New Roman" w:hAnsi="Times New Roman"/>
          <w:color w:val="auto"/>
          <w:lang w:val="uk-UA" w:bidi="hi-IN"/>
        </w:rPr>
        <w:t>Правил проведення земляних робіт на території Мукачівської міської об’єднаної територіальної громади</w:t>
      </w:r>
      <w:r>
        <w:rPr>
          <w:rFonts w:eastAsia="Lucida Sans Unicode" w:cs="Mangal" w:ascii="Liberation Serif" w:hAnsi="Liberation Serif"/>
          <w:color w:val="auto"/>
          <w:lang w:val="uk-UA" w:bidi="hi-IN"/>
        </w:rPr>
        <w:t xml:space="preserve"> прошу:</w:t>
      </w:r>
    </w:p>
    <w:p>
      <w:pPr>
        <w:pStyle w:val="Normal"/>
        <w:suppressAutoHyphens w:val="true"/>
        <w:spacing w:lineRule="atLeast" w:line="10" w:before="120" w:after="0"/>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w:t>
      </w:r>
      <w:r>
        <w:rPr>
          <w:rFonts w:eastAsia="Lucida Sans Unicode" w:cs="Mangal" w:ascii="Liberation Serif" w:hAnsi="Liberation Serif"/>
          <w:color w:val="auto"/>
          <w:lang w:bidi="hi-IN"/>
        </w:rPr>
        <w:t>____________________</w:t>
      </w:r>
      <w:r>
        <w:rPr>
          <w:rFonts w:eastAsia="Lucida Sans Unicode" w:cs="Mangal" w:ascii="Liberation Serif" w:hAnsi="Liberation Serif"/>
          <w:color w:val="auto"/>
          <w:lang w:val="uk-UA" w:bidi="hi-IN"/>
        </w:rPr>
        <w:t xml:space="preserve"> дозвіл на порушення об’єкта</w:t>
      </w:r>
      <w:r>
        <w:rPr>
          <w:rFonts w:eastAsia="Lucida Sans Unicode" w:cs="Mangal" w:ascii="Liberation Serif" w:hAnsi="Liberation Serif"/>
          <w:color w:val="auto"/>
          <w:lang w:bidi="hi-IN"/>
        </w:rPr>
        <w:br/>
      </w:r>
      <w:r>
        <w:rPr>
          <w:rFonts w:eastAsia="Lucida Sans Unicode" w:cs="Mangal" w:ascii="Liberation Serif" w:hAnsi="Liberation Serif"/>
          <w:color w:val="auto"/>
          <w:vertAlign w:val="superscript"/>
          <w:lang w:val="uk-UA" w:bidi="hi-IN"/>
        </w:rPr>
        <w:t xml:space="preserve">          (видати, переоформити, видати дублікат, анулювати (необхідне зазначити)</w:t>
      </w:r>
    </w:p>
    <w:p>
      <w:pPr>
        <w:pStyle w:val="Normal"/>
        <w:suppressAutoHyphens w:val="true"/>
        <w:spacing w:lineRule="atLeast" w:line="10" w:before="120" w:after="0"/>
        <w:rPr>
          <w:rFonts w:ascii="Liberation Serif" w:hAnsi="Liberation Serif" w:eastAsia="Lucida Sans Unicode" w:cs="Mangal"/>
          <w:color w:val="auto"/>
          <w:lang w:bidi="hi-IN"/>
        </w:rPr>
      </w:pPr>
      <w:r>
        <w:rPr>
          <w:rFonts w:eastAsia="Lucida Sans Unicode" w:cs="Mangal" w:ascii="Liberation Serif" w:hAnsi="Liberation Serif"/>
          <w:color w:val="auto"/>
          <w:lang w:val="uk-UA" w:bidi="hi-IN"/>
        </w:rPr>
        <w:t>благоустрою_________</w:t>
      </w:r>
      <w:r>
        <w:rPr>
          <w:rFonts w:eastAsia="Lucida Sans Unicode" w:cs="Mangal" w:ascii="Liberation Serif" w:hAnsi="Liberation Serif"/>
          <w:color w:val="auto"/>
          <w:lang w:bidi="hi-IN"/>
        </w:rPr>
        <w:t>________________</w:t>
      </w:r>
      <w:r>
        <w:rPr>
          <w:rFonts w:eastAsia="Lucida Sans Unicode" w:cs="Mangal" w:ascii="Liberation Serif" w:hAnsi="Liberation Serif"/>
          <w:color w:val="auto"/>
          <w:lang w:val="uk-UA" w:bidi="hi-IN"/>
        </w:rPr>
        <w:t>__________________________________________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lang w:val="uk-UA" w:bidi="hi-IN"/>
        </w:rPr>
        <w:t xml:space="preserve">                           </w:t>
      </w:r>
      <w:r>
        <w:rPr>
          <w:rFonts w:eastAsia="Lucida Sans Unicode" w:cs="Mangal" w:ascii="Liberation Serif" w:hAnsi="Liberation Serif"/>
          <w:color w:val="auto"/>
          <w:sz w:val="20"/>
          <w:szCs w:val="20"/>
          <w:lang w:val="uk-UA" w:bidi="hi-IN"/>
        </w:rPr>
        <w:t>(назва об’єкта благоустрою та його місцезнаходження)</w:t>
      </w:r>
    </w:p>
    <w:p>
      <w:pPr>
        <w:pStyle w:val="Normal"/>
        <w:suppressAutoHyphens w:val="true"/>
        <w:spacing w:lineRule="atLeast" w:line="10" w:before="120" w:after="0"/>
        <w:jc w:val="left"/>
        <w:rPr>
          <w:rFonts w:ascii="Liberation Serif" w:hAnsi="Liberation Serif" w:eastAsia="Lucida Sans Unicode" w:cs="Mangal"/>
          <w:color w:val="auto"/>
          <w:vertAlign w:val="superscript"/>
          <w:lang w:val="uk-UA" w:bidi="hi-IN"/>
        </w:rPr>
      </w:pPr>
      <w:r>
        <w:rPr>
          <w:rFonts w:eastAsia="Lucida Sans Unicode" w:cs="Mangal" w:ascii="Liberation Serif" w:hAnsi="Liberation Serif"/>
          <w:color w:val="auto"/>
          <w:lang w:val="uk-UA" w:bidi="hi-IN"/>
        </w:rPr>
        <w:t>з метою проведення ______________________________</w:t>
      </w:r>
      <w:r>
        <w:rPr>
          <w:rFonts w:eastAsia="Lucida Sans Unicode" w:cs="Mangal" w:ascii="Liberation Serif" w:hAnsi="Liberation Serif"/>
          <w:color w:val="auto"/>
          <w:lang w:bidi="hi-IN"/>
        </w:rPr>
        <w:t>_________________</w:t>
      </w:r>
      <w:r>
        <w:rPr>
          <w:rFonts w:eastAsia="Lucida Sans Unicode" w:cs="Mangal" w:ascii="Liberation Serif" w:hAnsi="Liberation Serif"/>
          <w:color w:val="auto"/>
          <w:lang w:val="uk-UA" w:bidi="hi-IN"/>
        </w:rPr>
        <w:t>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vertAlign w:val="superscript"/>
          <w:lang w:val="uk-UA" w:bidi="hi-IN"/>
        </w:rPr>
        <w:t xml:space="preserve">                                                               (вид земляних та/або ремонтних робіт згідно з додатком 2 до Правил проведення земляних</w:t>
      </w:r>
    </w:p>
    <w:p>
      <w:pPr>
        <w:pStyle w:val="Normal"/>
        <w:suppressAutoHyphens w:val="true"/>
        <w:spacing w:lineRule="atLeast" w:line="10" w:before="120" w:after="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before="120" w:after="0"/>
        <w:jc w:val="left"/>
        <w:rPr>
          <w:rFonts w:ascii="Liberation Serif" w:hAnsi="Liberation Serif" w:eastAsia="Lucida Sans Unicode" w:cs="Mangal"/>
          <w:color w:val="auto"/>
          <w:vertAlign w:val="superscript"/>
          <w:lang w:val="uk-UA" w:bidi="hi-IN"/>
        </w:rPr>
      </w:pPr>
      <w:r>
        <w:rPr>
          <w:rFonts w:eastAsia="Lucida Sans Unicode" w:cs="Mangal" w:ascii="Liberation Serif" w:hAnsi="Liberation Serif"/>
          <w:color w:val="auto"/>
          <w:vertAlign w:val="superscript"/>
          <w:lang w:val="uk-UA" w:bidi="hi-IN"/>
        </w:rPr>
        <w:t xml:space="preserve">                                                    </w:t>
      </w:r>
      <w:r>
        <w:rPr>
          <w:rFonts w:eastAsia="Lucida Sans Unicode" w:cs="Mangal" w:ascii="Liberation Serif" w:hAnsi="Liberation Serif"/>
          <w:color w:val="auto"/>
          <w:vertAlign w:val="superscript"/>
          <w:lang w:val="uk-UA" w:bidi="hi-IN"/>
        </w:rPr>
        <w:t>робіт на території Мукачівської міської об’єднаної територіальної громади).</w:t>
      </w:r>
    </w:p>
    <w:p>
      <w:pPr>
        <w:pStyle w:val="Normal"/>
        <w:suppressAutoHyphens w:val="true"/>
        <w:spacing w:lineRule="atLeast" w:line="10"/>
        <w:ind w:firstLine="709"/>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Дозвіл від ____________________________ 20____. №_________ (зазначається             у   разі   переоформлення,    анулювання    дозволу   або   видачі   його    дубліката)    виданий</w:t>
      </w:r>
    </w:p>
    <w:p>
      <w:pPr>
        <w:pStyle w:val="Normal"/>
        <w:suppressAutoHyphens w:val="true"/>
        <w:spacing w:lineRule="atLeast" w:line="10"/>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sz w:val="20"/>
          <w:szCs w:val="20"/>
          <w:lang w:val="uk-UA" w:bidi="hi-IN"/>
        </w:rPr>
        <w:t>(найменування юридичної особи або прізвище, ім’я</w:t>
      </w:r>
    </w:p>
    <w:p>
      <w:pPr>
        <w:pStyle w:val="Normal"/>
        <w:suppressAutoHyphens w:val="true"/>
        <w:spacing w:lineRule="atLeast" w:line="10" w:before="120" w:after="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sz w:val="20"/>
          <w:szCs w:val="20"/>
          <w:lang w:val="uk-UA" w:bidi="hi-IN"/>
        </w:rPr>
        <w:t>та по батькові фізичної особи - підприємця, їх місцезнаходження)</w:t>
      </w:r>
    </w:p>
    <w:p>
      <w:pPr>
        <w:pStyle w:val="Normal"/>
        <w:suppressAutoHyphens w:val="true"/>
        <w:spacing w:lineRule="atLeast" w:line="10"/>
        <w:ind w:firstLine="567"/>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Додатки:</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firstLine="567"/>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9585" w:type="dxa"/>
        <w:jc w:val="left"/>
        <w:tblInd w:w="0" w:type="dxa"/>
        <w:tblCellMar>
          <w:top w:w="0" w:type="dxa"/>
          <w:left w:w="108" w:type="dxa"/>
          <w:bottom w:w="0" w:type="dxa"/>
          <w:right w:w="108" w:type="dxa"/>
        </w:tblCellMar>
        <w:tblLook w:firstRow="1" w:noVBand="0" w:lastRow="0" w:firstColumn="1" w:lastColumn="0" w:noHBand="0" w:val="00a0"/>
      </w:tblPr>
      <w:tblGrid>
        <w:gridCol w:w="5354"/>
        <w:gridCol w:w="4230"/>
      </w:tblGrid>
      <w:tr>
        <w:trPr/>
        <w:tc>
          <w:tcPr>
            <w:tcW w:w="5354" w:type="dxa"/>
            <w:tcBorders/>
            <w:shd w:color="auto" w:fill="auto" w:val="clear"/>
          </w:tcPr>
          <w:p>
            <w:pPr>
              <w:pStyle w:val="Normal"/>
              <w:suppressAutoHyphens w:val="true"/>
              <w:spacing w:lineRule="atLeast" w:line="1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w:t>
            </w:r>
            <w:r>
              <w:rPr>
                <w:rFonts w:eastAsia="Lucida Sans Unicode" w:cs="Mangal" w:ascii="Liberation Serif" w:hAnsi="Liberation Serif"/>
                <w:color w:val="auto"/>
                <w:lang w:bidi="hi-IN"/>
              </w:rPr>
              <w:t>______</w:t>
            </w:r>
            <w:r>
              <w:rPr>
                <w:rFonts w:eastAsia="Lucida Sans Unicode" w:cs="Mangal" w:ascii="Liberation Serif" w:hAnsi="Liberation Serif"/>
                <w:color w:val="auto"/>
                <w:lang w:val="uk-UA" w:bidi="hi-IN"/>
              </w:rPr>
              <w:t>________________________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vertAlign w:val="superscript"/>
                <w:lang w:val="uk-UA" w:bidi="hi-IN"/>
              </w:rPr>
              <w:t>(прізвище, ім’я та по батькові фізичної особи)</w:t>
            </w:r>
          </w:p>
        </w:tc>
        <w:tc>
          <w:tcPr>
            <w:tcW w:w="4230" w:type="dxa"/>
            <w:tcBorders/>
            <w:shd w:color="auto" w:fill="auto" w:val="clear"/>
          </w:tcPr>
          <w:p>
            <w:pPr>
              <w:pStyle w:val="Normal"/>
              <w:suppressAutoHyphens w:val="true"/>
              <w:spacing w:lineRule="atLeast" w:line="10"/>
              <w:ind w:left="767" w:hanging="0"/>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w:t>
            </w:r>
            <w:r>
              <w:rPr>
                <w:rFonts w:eastAsia="Lucida Sans Unicode" w:cs="Mangal" w:ascii="Liberation Serif" w:hAnsi="Liberation Serif"/>
                <w:color w:val="auto"/>
                <w:lang w:bidi="hi-IN"/>
              </w:rPr>
              <w:t>_______</w:t>
            </w:r>
            <w:r>
              <w:rPr>
                <w:rFonts w:eastAsia="Lucida Sans Unicode" w:cs="Mangal" w:ascii="Liberation Serif" w:hAnsi="Liberation Serif"/>
                <w:color w:val="auto"/>
                <w:lang w:val="uk-UA" w:bidi="hi-IN"/>
              </w:rPr>
              <w:t>_______________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vertAlign w:val="superscript"/>
                <w:lang w:val="uk-UA" w:bidi="hi-IN"/>
              </w:rPr>
              <w:t>(підпис)</w:t>
            </w:r>
          </w:p>
        </w:tc>
      </w:tr>
    </w:tbl>
    <w:p>
      <w:pPr>
        <w:pStyle w:val="Normal"/>
        <w:suppressAutoHyphens w:val="true"/>
        <w:spacing w:lineRule="atLeast" w:line="10" w:before="120" w:after="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даю згоду на оброблення моїх персональних даних.</w:t>
      </w:r>
    </w:p>
    <w:tbl>
      <w:tblPr>
        <w:tblW w:w="9523" w:type="dxa"/>
        <w:jc w:val="left"/>
        <w:tblInd w:w="0" w:type="dxa"/>
        <w:tblCellMar>
          <w:top w:w="0" w:type="dxa"/>
          <w:left w:w="108" w:type="dxa"/>
          <w:bottom w:w="0" w:type="dxa"/>
          <w:right w:w="108" w:type="dxa"/>
        </w:tblCellMar>
        <w:tblLook w:firstRow="1" w:noVBand="0" w:lastRow="1" w:firstColumn="1" w:lastColumn="1" w:noHBand="0" w:val="01e0"/>
      </w:tblPr>
      <w:tblGrid>
        <w:gridCol w:w="3331"/>
        <w:gridCol w:w="3096"/>
        <w:gridCol w:w="3096"/>
      </w:tblGrid>
      <w:tr>
        <w:trPr>
          <w:trHeight w:val="591" w:hRule="atLeast"/>
        </w:trPr>
        <w:tc>
          <w:tcPr>
            <w:tcW w:w="3331" w:type="dxa"/>
            <w:tcBorders/>
            <w:shd w:color="auto" w:fill="auto" w:val="clear"/>
          </w:tcPr>
          <w:p>
            <w:pPr>
              <w:pStyle w:val="Normal"/>
              <w:suppressAutoHyphens w:val="true"/>
              <w:spacing w:lineRule="atLeast" w:line="10" w:before="120" w:after="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Заявник</w:t>
            </w:r>
          </w:p>
        </w:tc>
        <w:tc>
          <w:tcPr>
            <w:tcW w:w="3096" w:type="dxa"/>
            <w:tcBorders/>
            <w:shd w:color="auto" w:fill="auto" w:val="clear"/>
            <w:vAlign w:val="bottom"/>
          </w:tcPr>
          <w:p>
            <w:pPr>
              <w:pStyle w:val="Normal"/>
              <w:suppressAutoHyphens w:val="true"/>
              <w:spacing w:lineRule="atLeast" w:line="10"/>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lang w:val="uk-UA" w:bidi="hi-IN"/>
              </w:rPr>
              <w:t>____________________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sz w:val="20"/>
                <w:szCs w:val="20"/>
                <w:lang w:val="uk-UA" w:bidi="hi-IN"/>
              </w:rPr>
              <w:t xml:space="preserve">(ініціали та прізвище) </w:t>
            </w:r>
          </w:p>
        </w:tc>
        <w:tc>
          <w:tcPr>
            <w:tcW w:w="3096" w:type="dxa"/>
            <w:tcBorders/>
            <w:shd w:color="auto" w:fill="auto" w:val="clear"/>
            <w:vAlign w:val="bottom"/>
          </w:tcPr>
          <w:p>
            <w:pPr>
              <w:pStyle w:val="Normal"/>
              <w:suppressAutoHyphens w:val="true"/>
              <w:spacing w:lineRule="atLeast" w:line="10"/>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lang w:val="uk-UA" w:bidi="hi-IN"/>
              </w:rPr>
              <w:t>____________________</w:t>
            </w:r>
            <w:r>
              <w:rPr>
                <w:rFonts w:eastAsia="Lucida Sans Unicode" w:cs="Mangal" w:ascii="Liberation Serif" w:hAnsi="Liberation Serif"/>
                <w:color w:val="auto"/>
                <w:lang w:bidi="hi-IN"/>
              </w:rPr>
              <w:br/>
            </w:r>
            <w:r>
              <w:rPr>
                <w:rFonts w:eastAsia="Lucida Sans Unicode" w:cs="Mangal" w:ascii="Liberation Serif" w:hAnsi="Liberation Serif"/>
                <w:color w:val="auto"/>
                <w:sz w:val="20"/>
                <w:szCs w:val="20"/>
                <w:lang w:val="uk-UA" w:bidi="hi-IN"/>
              </w:rPr>
              <w:t>(підпис)</w:t>
            </w:r>
          </w:p>
        </w:tc>
      </w:tr>
    </w:tbl>
    <w:p>
      <w:pPr>
        <w:pStyle w:val="Normal"/>
        <w:suppressAutoHyphens w:val="true"/>
        <w:spacing w:lineRule="atLeast" w:line="10"/>
        <w:ind w:left="1080" w:hanging="1080"/>
        <w:jc w:val="both"/>
        <w:rPr>
          <w:rFonts w:ascii="Liberation Serif" w:hAnsi="Liberation Serif" w:eastAsia="Lucida Sans Unicode" w:cs="Mangal"/>
          <w:color w:val="auto"/>
          <w:lang w:bidi="hi-IN"/>
        </w:rPr>
      </w:pPr>
      <w:r>
        <w:rPr>
          <w:rFonts w:eastAsia="Lucida Sans Unicode" w:cs="Mangal" w:ascii="Liberation Serif" w:hAnsi="Liberation Serif"/>
          <w:color w:val="auto"/>
          <w:lang w:bidi="hi-IN"/>
        </w:rPr>
      </w:r>
    </w:p>
    <w:p>
      <w:pPr>
        <w:pStyle w:val="Normal"/>
        <w:suppressAutoHyphens w:val="true"/>
        <w:spacing w:lineRule="atLeast" w:line="10"/>
        <w:ind w:right="1133"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 xml:space="preserve">Заповнюється державним адміністратором: </w:t>
      </w:r>
    </w:p>
    <w:tbl>
      <w:tblPr>
        <w:tblW w:w="9525" w:type="dxa"/>
        <w:jc w:val="left"/>
        <w:tblInd w:w="-6" w:type="dxa"/>
        <w:tblCellMar>
          <w:top w:w="0" w:type="dxa"/>
          <w:left w:w="103" w:type="dxa"/>
          <w:bottom w:w="0" w:type="dxa"/>
          <w:right w:w="108" w:type="dxa"/>
        </w:tblCellMar>
        <w:tblLook w:firstRow="1" w:noVBand="1" w:lastRow="0" w:firstColumn="1" w:lastColumn="0" w:noHBand="0" w:val="04a0"/>
      </w:tblPr>
      <w:tblGrid>
        <w:gridCol w:w="3945"/>
        <w:gridCol w:w="5579"/>
      </w:tblGrid>
      <w:tr>
        <w:trPr/>
        <w:tc>
          <w:tcPr>
            <w:tcW w:w="3945" w:type="dxa"/>
            <w:tcBorders>
              <w:top w:val="single" w:sz="4" w:space="0" w:color="000001"/>
              <w:left w:val="single" w:sz="4" w:space="0" w:color="000001"/>
              <w:bottom w:val="single" w:sz="4" w:space="0" w:color="000001"/>
              <w:right w:val="single" w:sz="4" w:space="0" w:color="000001"/>
            </w:tcBorders>
            <w:shd w:color="auto" w:fill="auto" w:val="clear"/>
          </w:tcPr>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 201___.</w:t>
            </w:r>
          </w:p>
          <w:p>
            <w:pPr>
              <w:pStyle w:val="Normal"/>
              <w:suppressAutoHyphens w:val="true"/>
              <w:spacing w:lineRule="atLeast" w:line="10"/>
              <w:ind w:right="-71" w:hanging="0"/>
              <w:jc w:val="left"/>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sz w:val="20"/>
                <w:szCs w:val="20"/>
                <w:lang w:val="uk-UA" w:bidi="hi-IN"/>
              </w:rPr>
              <w:t xml:space="preserve">         </w:t>
            </w:r>
            <w:r>
              <w:rPr>
                <w:rFonts w:eastAsia="Lucida Sans Unicode" w:cs="Mangal" w:ascii="Liberation Serif" w:hAnsi="Liberation Serif"/>
                <w:color w:val="auto"/>
                <w:sz w:val="20"/>
                <w:szCs w:val="20"/>
                <w:lang w:val="uk-UA" w:bidi="hi-IN"/>
              </w:rPr>
              <w:t>(дата надходження заяви)</w:t>
            </w:r>
          </w:p>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w:t>
            </w:r>
          </w:p>
          <w:p>
            <w:pPr>
              <w:pStyle w:val="Normal"/>
              <w:suppressAutoHyphens w:val="true"/>
              <w:spacing w:lineRule="atLeast" w:line="10"/>
              <w:ind w:right="-71" w:hanging="0"/>
              <w:jc w:val="left"/>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sz w:val="20"/>
                <w:szCs w:val="20"/>
                <w:lang w:val="uk-UA" w:bidi="hi-IN"/>
              </w:rPr>
              <w:t xml:space="preserve">                   </w:t>
            </w:r>
            <w:r>
              <w:rPr>
                <w:rFonts w:eastAsia="Lucida Sans Unicode" w:cs="Mangal" w:ascii="Liberation Serif" w:hAnsi="Liberation Serif"/>
                <w:color w:val="auto"/>
                <w:sz w:val="20"/>
                <w:szCs w:val="20"/>
                <w:lang w:val="uk-UA" w:bidi="hi-IN"/>
              </w:rPr>
              <w:t>(підпис)</w:t>
            </w:r>
          </w:p>
          <w:p>
            <w:pPr>
              <w:pStyle w:val="Normal"/>
              <w:suppressAutoHyphens w:val="true"/>
              <w:spacing w:lineRule="atLeast" w:line="10"/>
              <w:ind w:right="-71"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tc>
        <w:tc>
          <w:tcPr>
            <w:tcW w:w="5579" w:type="dxa"/>
            <w:tcBorders>
              <w:top w:val="single" w:sz="4" w:space="0" w:color="000001"/>
              <w:left w:val="single" w:sz="4" w:space="0" w:color="000001"/>
              <w:bottom w:val="single" w:sz="4" w:space="0" w:color="000001"/>
              <w:right w:val="single" w:sz="4" w:space="0" w:color="000001"/>
            </w:tcBorders>
            <w:shd w:color="auto" w:fill="auto" w:val="clear"/>
          </w:tcPr>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Реєстраційний номер _______________________</w:t>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before="240" w:after="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w:t>
            </w:r>
          </w:p>
          <w:p>
            <w:pPr>
              <w:pStyle w:val="Normal"/>
              <w:suppressAutoHyphens w:val="true"/>
              <w:spacing w:lineRule="atLeast" w:line="10"/>
              <w:jc w:val="left"/>
              <w:rPr>
                <w:rFonts w:ascii="Liberation Serif" w:hAnsi="Liberation Serif" w:eastAsia="Lucida Sans Unicode" w:cs="Mangal"/>
                <w:color w:val="auto"/>
                <w:sz w:val="20"/>
                <w:szCs w:val="20"/>
                <w:lang w:val="uk-UA" w:bidi="hi-IN"/>
              </w:rPr>
            </w:pPr>
            <w:r>
              <w:rPr>
                <w:rFonts w:eastAsia="Lucida Sans Unicode" w:cs="Mangal" w:ascii="Liberation Serif" w:hAnsi="Liberation Serif"/>
                <w:color w:val="auto"/>
                <w:sz w:val="20"/>
                <w:szCs w:val="20"/>
                <w:lang w:val="uk-UA" w:bidi="hi-IN"/>
              </w:rPr>
              <w:t xml:space="preserve">    </w:t>
            </w:r>
            <w:r>
              <w:rPr>
                <w:rFonts w:eastAsia="Lucida Sans Unicode" w:cs="Mangal" w:ascii="Liberation Serif" w:hAnsi="Liberation Serif"/>
                <w:color w:val="auto"/>
                <w:sz w:val="20"/>
                <w:szCs w:val="20"/>
                <w:lang w:val="uk-UA" w:bidi="hi-IN"/>
              </w:rPr>
              <w:t>(ініціали та прізвище державного адміністратора)</w:t>
            </w:r>
          </w:p>
        </w:tc>
      </w:tr>
    </w:tbl>
    <w:p>
      <w:pPr>
        <w:pStyle w:val="Normal"/>
        <w:suppressAutoHyphens w:val="true"/>
        <w:spacing w:lineRule="atLeast" w:line="10" w:before="120" w:after="0"/>
        <w:ind w:left="284" w:right="1133" w:hanging="0"/>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left="1834" w:hanging="1834"/>
        <w:jc w:val="lef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t>______________________________________________________________________________</w:t>
      </w:r>
    </w:p>
    <w:p>
      <w:pPr>
        <w:pStyle w:val="Normal"/>
        <w:suppressAutoHyphens w:val="true"/>
        <w:spacing w:lineRule="atLeast" w:line="10"/>
        <w:ind w:left="1134" w:hanging="1134"/>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spacing w:lineRule="atLeast" w:line="10"/>
        <w:ind w:left="1134" w:hanging="1134"/>
        <w:jc w:val="both"/>
        <w:rPr>
          <w:color w:val="auto"/>
        </w:rPr>
      </w:pPr>
      <w:r>
        <w:rPr>
          <w:rFonts w:eastAsia="Lucida Sans Unicode" w:cs="Mangal" w:ascii="Liberation Serif" w:hAnsi="Liberation Serif"/>
          <w:color w:val="auto"/>
          <w:lang w:val="uk-UA" w:bidi="hi-IN"/>
        </w:rPr>
        <w:t>Примітка. Кожна сторінка цієї заяви засвідчується підписом заявника, скріпленим його печаткою (за наявності).</w:t>
      </w:r>
      <w:r>
        <w:br w:type="page"/>
      </w:r>
    </w:p>
    <w:p>
      <w:pPr>
        <w:pStyle w:val="Normal"/>
        <w:suppressAutoHyphens w:val="true"/>
        <w:spacing w:lineRule="atLeast" w:line="10"/>
        <w:ind w:left="1134" w:hanging="1134"/>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bookmarkStart w:id="4" w:name="o32"/>
      <w:bookmarkStart w:id="5" w:name="o32"/>
      <w:bookmarkEnd w:id="5"/>
    </w:p>
    <w:p>
      <w:pPr>
        <w:sectPr>
          <w:type w:val="nextPage"/>
          <w:pgSz w:w="11906" w:h="16838"/>
          <w:pgMar w:left="1701" w:right="567" w:header="0" w:top="1134" w:footer="0" w:bottom="1134" w:gutter="0"/>
          <w:pgNumType w:fmt="decimal"/>
          <w:formProt w:val="false"/>
          <w:textDirection w:val="lrTb"/>
          <w:docGrid w:type="default" w:linePitch="600" w:charSpace="0"/>
        </w:sectPr>
      </w:pP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bookmarkStart w:id="6" w:name="page19"/>
      <w:bookmarkEnd w:id="6"/>
      <w:r>
        <w:rPr>
          <w:rFonts w:cs="Mangal" w:ascii="Times New Roman" w:hAnsi="Times New Roman"/>
          <w:color w:val="auto"/>
          <w:lang w:val="uk-UA" w:bidi="hi-IN"/>
        </w:rPr>
        <w:t>Додаток 2</w:t>
      </w: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r>
        <w:rPr>
          <w:rFonts w:cs="Mangal" w:ascii="Times New Roman" w:hAnsi="Times New Roman"/>
          <w:color w:val="auto"/>
          <w:lang w:val="uk-UA" w:bidi="hi-IN"/>
        </w:rPr>
        <w:t>до Правил проведення земляних робіт на території Мукачівської міської об’єднаної територіальної громади</w:t>
      </w:r>
    </w:p>
    <w:p>
      <w:pPr>
        <w:pStyle w:val="Normal"/>
        <w:suppressAutoHyphens w:val="true"/>
        <w:jc w:val="right"/>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rPr>
          <w:rFonts w:ascii="Liberation Serif" w:hAnsi="Liberation Serif" w:eastAsia="Lucida Sans Unicode" w:cs="Mangal"/>
          <w:b/>
          <w:b/>
          <w:color w:val="auto"/>
          <w:lang w:val="uk-UA" w:bidi="hi-IN"/>
        </w:rPr>
      </w:pPr>
      <w:r>
        <w:rPr>
          <w:rFonts w:eastAsia="Lucida Sans Unicode" w:cs="Mangal" w:ascii="Liberation Serif" w:hAnsi="Liberation Serif"/>
          <w:b/>
          <w:color w:val="auto"/>
          <w:lang w:val="uk-UA" w:bidi="hi-IN"/>
        </w:rPr>
        <w:t>ПЕРЕЛІК</w:t>
      </w:r>
    </w:p>
    <w:p>
      <w:pPr>
        <w:pStyle w:val="Normal"/>
        <w:suppressAutoHyphens w:val="true"/>
        <w:rPr>
          <w:rFonts w:ascii="Liberation Serif" w:hAnsi="Liberation Serif" w:eastAsia="Lucida Sans Unicode" w:cs="Mangal"/>
          <w:b/>
          <w:b/>
          <w:color w:val="auto"/>
          <w:lang w:val="uk-UA" w:bidi="hi-IN"/>
        </w:rPr>
      </w:pPr>
      <w:r>
        <w:rPr>
          <w:rFonts w:eastAsia="Lucida Sans Unicode" w:cs="Mangal" w:ascii="Liberation Serif" w:hAnsi="Liberation Serif"/>
          <w:b/>
          <w:color w:val="auto"/>
          <w:lang w:val="uk-UA" w:bidi="hi-IN"/>
        </w:rPr>
        <w:t>земляних та/або ремонтних робіт, для проведення яких необхідно отримати дозвіл</w:t>
      </w:r>
    </w:p>
    <w:p>
      <w:pPr>
        <w:pStyle w:val="Normal"/>
        <w:suppressAutoHyphens w:val="true"/>
        <w:jc w:val="both"/>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1. Земляні або монтажні роботи, не пов’язані з прокладенням, перекладенням, ремонтом інженерних мереж і споруд.</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2. Земляні або монтажні роботи, пов’язані з розриттям дорожнього покриття вулиць, доріг, майданів, площ.</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3. Роботи, пов’язані з порушенням благоустрою об’єктів зеленого господарства.</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4. Роботи, пов’язані з інженерними вишукуваннями.</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5. Роботи, пов’язані з археологічними дослідженнями.</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7. Ремонт та/або улаштування майданчиків для паркування транспортних засобів, спортивних, дитячих та інших майданчиків.</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r>
    </w:p>
    <w:p>
      <w:pPr>
        <w:pStyle w:val="Normal"/>
        <w:suppressAutoHyphens w:val="true"/>
        <w:jc w:val="both"/>
        <w:rPr>
          <w:color w:val="auto"/>
        </w:rPr>
      </w:pPr>
      <w:r>
        <w:rPr>
          <w:rFonts w:eastAsia="Lucida Sans Unicode" w:cs="Times New Roman" w:ascii="Times New Roman" w:hAnsi="Times New Roman"/>
          <w:color w:val="auto"/>
          <w:sz w:val="28"/>
          <w:szCs w:val="28"/>
          <w:lang w:val="uk-UA" w:bidi="hi-IN"/>
        </w:rPr>
        <w:t>9. Прокладення, перекладення або заміна водостічних, водопровідних труб та водоприймальних колодязів.</w:t>
      </w:r>
    </w:p>
    <w:p>
      <w:pPr>
        <w:pStyle w:val="Normal"/>
        <w:suppressAutoHyphens w:val="true"/>
        <w:jc w:val="both"/>
        <w:rPr>
          <w:color w:val="auto"/>
        </w:rPr>
      </w:pPr>
      <w:r>
        <w:rPr>
          <w:rFonts w:eastAsia="Lucida Sans Unicode" w:cs="Times New Roman" w:ascii="Times New Roman" w:hAnsi="Times New Roman"/>
          <w:color w:val="auto"/>
          <w:sz w:val="28"/>
          <w:szCs w:val="28"/>
          <w:lang w:val="uk-UA" w:bidi="hi-IN"/>
        </w:rPr>
        <w:t>10. Установлення нових, відновлення, ремонт та заміна існуючих малих архітектурних форм.</w:t>
      </w:r>
    </w:p>
    <w:p>
      <w:pPr>
        <w:pStyle w:val="Normal"/>
        <w:suppressAutoHyphens w:val="true"/>
        <w:jc w:val="both"/>
        <w:rPr>
          <w:color w:val="auto"/>
        </w:rPr>
      </w:pPr>
      <w:r>
        <w:rPr>
          <w:rFonts w:eastAsia="Lucida Sans Unicode" w:cs="Times New Roman" w:ascii="Times New Roman" w:hAnsi="Times New Roman"/>
          <w:color w:val="auto"/>
          <w:sz w:val="28"/>
          <w:szCs w:val="28"/>
          <w:lang w:val="uk-UA" w:bidi="hi-IN"/>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pPr>
        <w:pStyle w:val="Normal"/>
        <w:suppressAutoHyphens w:val="true"/>
        <w:jc w:val="both"/>
        <w:rPr>
          <w:rFonts w:ascii="Times New Roman" w:hAnsi="Times New Roman" w:eastAsia="Lucida Sans Unicode" w:cs="Times New Roman"/>
          <w:color w:val="auto"/>
          <w:sz w:val="28"/>
          <w:szCs w:val="28"/>
          <w:lang w:val="uk-UA" w:bidi="hi-IN"/>
        </w:rPr>
      </w:pPr>
      <w:r>
        <w:rPr>
          <w:rFonts w:eastAsia="Lucida Sans Unicode" w:cs="Times New Roman" w:ascii="Times New Roman" w:hAnsi="Times New Roman"/>
          <w:color w:val="auto"/>
          <w:sz w:val="28"/>
          <w:szCs w:val="28"/>
          <w:lang w:val="uk-UA" w:bidi="hi-IN"/>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r>
        <w:rPr>
          <w:rFonts w:cs="Mangal" w:ascii="Times New Roman" w:hAnsi="Times New Roman"/>
          <w:color w:val="auto"/>
          <w:lang w:val="uk-UA" w:bidi="hi-IN"/>
        </w:rPr>
      </w:r>
      <w:r>
        <w:br w:type="page"/>
      </w:r>
    </w:p>
    <w:p>
      <w:pPr>
        <w:pStyle w:val="Normal"/>
        <w:numPr>
          <w:ilvl w:val="0"/>
          <w:numId w:val="0"/>
        </w:numPr>
        <w:suppressAutoHyphens w:val="true"/>
        <w:ind w:left="5103" w:hanging="0"/>
        <w:jc w:val="both"/>
        <w:outlineLvl w:val="2"/>
        <w:rPr>
          <w:color w:val="auto"/>
        </w:rPr>
      </w:pPr>
      <w:r>
        <w:rPr>
          <w:color w:val="auto"/>
        </w:rPr>
      </w:r>
    </w:p>
    <w:p>
      <w:pPr>
        <w:pStyle w:val="Normal"/>
        <w:numPr>
          <w:ilvl w:val="0"/>
          <w:numId w:val="0"/>
        </w:numPr>
        <w:suppressAutoHyphens w:val="true"/>
        <w:ind w:left="5103" w:hanging="0"/>
        <w:jc w:val="both"/>
        <w:outlineLvl w:val="2"/>
        <w:rPr>
          <w:color w:val="auto"/>
        </w:rPr>
      </w:pPr>
      <w:r>
        <w:rPr>
          <w:rFonts w:cs="Mangal" w:ascii="Times New Roman" w:hAnsi="Times New Roman"/>
          <w:color w:val="auto"/>
          <w:lang w:val="uk-UA" w:bidi="hi-IN"/>
        </w:rPr>
        <w:t>Додаток 3</w:t>
      </w:r>
    </w:p>
    <w:p>
      <w:pPr>
        <w:pStyle w:val="Normal"/>
        <w:keepNext w:val="true"/>
        <w:numPr>
          <w:ilvl w:val="0"/>
          <w:numId w:val="0"/>
        </w:numPr>
        <w:suppressAutoHyphens w:val="true"/>
        <w:ind w:left="5103" w:hanging="0"/>
        <w:jc w:val="both"/>
        <w:outlineLvl w:val="2"/>
        <w:rPr>
          <w:rFonts w:ascii="Times New Roman" w:hAnsi="Times New Roman" w:cs="Mangal"/>
          <w:color w:val="auto"/>
          <w:lang w:val="uk-UA" w:bidi="hi-IN"/>
        </w:rPr>
      </w:pPr>
      <w:r>
        <w:rPr>
          <w:rFonts w:cs="Mangal" w:ascii="Times New Roman" w:hAnsi="Times New Roman"/>
          <w:color w:val="auto"/>
          <w:lang w:val="uk-UA" w:bidi="hi-IN"/>
        </w:rPr>
        <w:t>до Правил проведення земляних робіт на території Мукачівської міської об’єднаної територіальної громади</w:t>
      </w:r>
    </w:p>
    <w:p>
      <w:pPr>
        <w:pStyle w:val="Normal"/>
        <w:suppressAutoHyphens w:val="true"/>
        <w:rPr>
          <w:rFonts w:ascii="Liberation Serif" w:hAnsi="Liberation Serif" w:eastAsia="Lucida Sans Unicode" w:cs="Mangal"/>
          <w:color w:val="auto"/>
          <w:lang w:val="uk-UA" w:bidi="hi-IN"/>
        </w:rPr>
      </w:pPr>
      <w:r>
        <w:rPr>
          <w:rFonts w:eastAsia="Lucida Sans Unicode" w:cs="Mangal" w:ascii="Liberation Serif" w:hAnsi="Liberation Serif"/>
          <w:color w:val="auto"/>
          <w:lang w:val="uk-UA" w:bidi="hi-IN"/>
        </w:rPr>
      </w:r>
    </w:p>
    <w:p>
      <w:pPr>
        <w:pStyle w:val="Normal"/>
        <w:suppressAutoHyphens w:val="true"/>
        <w:rPr>
          <w:rFonts w:ascii="Liberation Serif" w:hAnsi="Liberation Serif" w:eastAsia="Lucida Sans Unicode" w:cs="Mangal"/>
          <w:b/>
          <w:b/>
          <w:bCs/>
          <w:color w:val="auto"/>
          <w:sz w:val="28"/>
          <w:lang w:eastAsia="zh-CN" w:bidi="hi-IN"/>
        </w:rPr>
      </w:pPr>
      <w:r>
        <w:rPr/>
        <w:drawing>
          <wp:inline distT="0" distB="0" distL="0" distR="0">
            <wp:extent cx="447675" cy="600075"/>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3"/>
                    <a:stretch>
                      <a:fillRect/>
                    </a:stretch>
                  </pic:blipFill>
                  <pic:spPr bwMode="auto">
                    <a:xfrm>
                      <a:off x="0" y="0"/>
                      <a:ext cx="447675" cy="600075"/>
                    </a:xfrm>
                    <a:prstGeom prst="rect">
                      <a:avLst/>
                    </a:prstGeom>
                  </pic:spPr>
                </pic:pic>
              </a:graphicData>
            </a:graphic>
          </wp:inline>
        </w:drawing>
      </w:r>
    </w:p>
    <w:p>
      <w:pPr>
        <w:pStyle w:val="Normal"/>
        <w:suppressAutoHyphens w:val="true"/>
        <w:rPr>
          <w:rFonts w:ascii="Liberation Serif" w:hAnsi="Liberation Serif" w:eastAsia="Lucida Sans Unicode" w:cs="Mangal"/>
          <w:color w:val="auto"/>
          <w:sz w:val="28"/>
          <w:lang w:eastAsia="zh-CN" w:bidi="hi-IN"/>
        </w:rPr>
      </w:pPr>
      <w:r>
        <w:rPr>
          <w:rFonts w:eastAsia="Lucida Sans Unicode" w:cs="Mangal" w:ascii="Liberation Serif" w:hAnsi="Liberation Serif"/>
          <w:b/>
          <w:bCs/>
          <w:color w:val="auto"/>
          <w:sz w:val="28"/>
          <w:lang w:eastAsia="zh-CN" w:bidi="hi-IN"/>
        </w:rPr>
        <w:t>УКРАЇНА</w:t>
      </w:r>
    </w:p>
    <w:p>
      <w:pPr>
        <w:pStyle w:val="Normal"/>
        <w:suppressAutoHyphens w:val="true"/>
        <w:rPr>
          <w:rFonts w:ascii="Liberation Serif" w:hAnsi="Liberation Serif" w:eastAsia="Lucida Sans Unicode" w:cs="Mangal"/>
          <w:color w:val="auto"/>
          <w:sz w:val="28"/>
          <w:lang w:eastAsia="zh-CN" w:bidi="hi-IN"/>
        </w:rPr>
      </w:pPr>
      <w:r>
        <w:rPr>
          <w:rFonts w:eastAsia="Lucida Sans Unicode" w:cs="Mangal" w:ascii="Liberation Serif" w:hAnsi="Liberation Serif"/>
          <w:color w:val="auto"/>
          <w:sz w:val="28"/>
          <w:lang w:eastAsia="zh-CN" w:bidi="hi-IN"/>
        </w:rPr>
        <w:t>ЗАКАРПАТСЬКА ОБЛАСТЬ</w:t>
      </w:r>
    </w:p>
    <w:p>
      <w:pPr>
        <w:pStyle w:val="Normal"/>
        <w:suppressAutoHyphens w:val="true"/>
        <w:rPr>
          <w:rFonts w:ascii="Liberation Serif" w:hAnsi="Liberation Serif" w:eastAsia="Lucida Sans Unicode" w:cs="Mangal"/>
          <w:color w:val="auto"/>
          <w:sz w:val="28"/>
          <w:lang w:eastAsia="zh-CN" w:bidi="hi-IN"/>
        </w:rPr>
      </w:pPr>
      <w:r>
        <w:rPr>
          <w:rFonts w:eastAsia="Lucida Sans Unicode" w:cs="Mangal" w:ascii="Liberation Serif" w:hAnsi="Liberation Serif"/>
          <w:color w:val="auto"/>
          <w:sz w:val="28"/>
          <w:lang w:eastAsia="zh-CN" w:bidi="hi-IN"/>
        </w:rPr>
        <w:t>МУКАЧІВСЬКА МІСЬКА РАДА</w:t>
      </w:r>
    </w:p>
    <w:p>
      <w:pPr>
        <w:pStyle w:val="Normal"/>
        <w:suppressAutoHyphens w:val="true"/>
        <w:rPr>
          <w:rFonts w:ascii="Liberation Serif" w:hAnsi="Liberation Serif" w:eastAsia="Lucida Sans Unicode" w:cs="Mangal"/>
          <w:color w:val="auto"/>
          <w:sz w:val="28"/>
          <w:lang w:eastAsia="zh-CN" w:bidi="hi-IN"/>
        </w:rPr>
      </w:pPr>
      <w:r>
        <w:rPr>
          <w:rFonts w:eastAsia="Lucida Sans Unicode" w:cs="Mangal" w:ascii="Liberation Serif" w:hAnsi="Liberation Serif"/>
          <w:b/>
          <w:bCs/>
          <w:color w:val="auto"/>
          <w:sz w:val="28"/>
          <w:u w:val="single"/>
          <w:lang w:eastAsia="zh-CN" w:bidi="hi-IN"/>
        </w:rPr>
        <w:t>__________УПРАВЛІННЯ МІСЬКОГО ГОСПОДАРСТВА_______________</w:t>
      </w:r>
    </w:p>
    <w:p>
      <w:pPr>
        <w:pStyle w:val="Normal"/>
        <w:shd w:val="clear" w:color="auto" w:fill="FFFFFF"/>
        <w:suppressAutoHyphens w:val="true"/>
        <w:rPr>
          <w:color w:val="auto"/>
        </w:rPr>
      </w:pPr>
      <w:r>
        <w:rPr>
          <w:rFonts w:eastAsia="Lucida Sans Unicode" w:cs="Mangal" w:ascii="Liberation Serif" w:hAnsi="Liberation Serif"/>
          <w:b/>
          <w:bCs/>
          <w:color w:val="auto"/>
          <w:sz w:val="20"/>
          <w:szCs w:val="20"/>
          <w:lang w:eastAsia="zh-CN" w:bidi="hi-IN"/>
        </w:rPr>
        <w:t>пл.</w:t>
      </w:r>
      <w:r>
        <w:rPr>
          <w:rFonts w:eastAsia="Lucida Sans Unicode" w:cs="Mangal" w:ascii="Liberation Serif" w:hAnsi="Liberation Serif"/>
          <w:b/>
          <w:bCs/>
          <w:color w:val="auto"/>
          <w:sz w:val="20"/>
          <w:szCs w:val="20"/>
          <w:lang w:val="uk-UA" w:eastAsia="zh-CN" w:bidi="hi-IN"/>
        </w:rPr>
        <w:t xml:space="preserve"> </w:t>
      </w:r>
      <w:r>
        <w:rPr>
          <w:rFonts w:eastAsia="Lucida Sans Unicode" w:cs="Mangal" w:ascii="Liberation Serif" w:hAnsi="Liberation Serif"/>
          <w:b/>
          <w:bCs/>
          <w:color w:val="auto"/>
          <w:sz w:val="20"/>
          <w:szCs w:val="20"/>
          <w:lang w:eastAsia="zh-CN" w:bidi="hi-IN"/>
        </w:rPr>
        <w:t>Духновича</w:t>
      </w:r>
      <w:r>
        <w:rPr>
          <w:rFonts w:eastAsia="Lucida Sans Unicode" w:cs="Mangal" w:ascii="Liberation Serif" w:hAnsi="Liberation Serif"/>
          <w:b/>
          <w:bCs/>
          <w:color w:val="auto"/>
          <w:sz w:val="20"/>
          <w:szCs w:val="20"/>
          <w:lang w:val="uk-UA" w:eastAsia="zh-CN" w:bidi="hi-IN"/>
        </w:rPr>
        <w:t xml:space="preserve"> Олександра</w:t>
      </w:r>
      <w:r>
        <w:rPr>
          <w:rFonts w:eastAsia="Lucida Sans Unicode" w:cs="Mangal" w:ascii="Liberation Serif" w:hAnsi="Liberation Serif"/>
          <w:b/>
          <w:bCs/>
          <w:color w:val="auto"/>
          <w:sz w:val="20"/>
          <w:szCs w:val="20"/>
          <w:lang w:eastAsia="zh-CN" w:bidi="hi-IN"/>
        </w:rPr>
        <w:t>, 2, м.</w:t>
      </w:r>
      <w:r>
        <w:rPr>
          <w:rFonts w:eastAsia="Lucida Sans Unicode" w:cs="Mangal" w:ascii="Liberation Serif" w:hAnsi="Liberation Serif"/>
          <w:b/>
          <w:bCs/>
          <w:color w:val="auto"/>
          <w:sz w:val="20"/>
          <w:szCs w:val="20"/>
          <w:lang w:val="uk-UA" w:eastAsia="zh-CN" w:bidi="hi-IN"/>
        </w:rPr>
        <w:t xml:space="preserve"> </w:t>
      </w:r>
      <w:r>
        <w:rPr>
          <w:rFonts w:eastAsia="Lucida Sans Unicode" w:cs="Mangal" w:ascii="Liberation Serif" w:hAnsi="Liberation Serif"/>
          <w:b/>
          <w:bCs/>
          <w:color w:val="auto"/>
          <w:sz w:val="20"/>
          <w:szCs w:val="20"/>
          <w:lang w:eastAsia="zh-CN" w:bidi="hi-IN"/>
        </w:rPr>
        <w:t xml:space="preserve">Мукачево, 89600, тел.: </w:t>
      </w:r>
      <w:r>
        <w:rPr>
          <w:rFonts w:eastAsia="Lucida Sans Unicode" w:cs="Mangal" w:ascii="Liberation Serif" w:hAnsi="Liberation Serif"/>
          <w:b/>
          <w:bCs/>
          <w:color w:val="auto"/>
          <w:sz w:val="20"/>
          <w:szCs w:val="20"/>
          <w:lang w:val="uk-UA" w:eastAsia="zh-CN" w:bidi="hi-IN"/>
        </w:rPr>
        <w:t>066-633-18-80</w:t>
      </w:r>
      <w:r>
        <w:rPr>
          <w:rFonts w:eastAsia="Lucida Sans Unicode" w:cs="Mangal" w:ascii="Liberation Serif" w:hAnsi="Liberation Serif"/>
          <w:b/>
          <w:bCs/>
          <w:color w:val="auto"/>
          <w:sz w:val="20"/>
          <w:szCs w:val="20"/>
          <w:lang w:eastAsia="zh-CN" w:bidi="hi-IN"/>
        </w:rPr>
        <w:t xml:space="preserve">, </w:t>
      </w:r>
    </w:p>
    <w:p>
      <w:pPr>
        <w:pStyle w:val="Normal"/>
        <w:shd w:val="clear" w:color="auto" w:fill="FFFFFF"/>
        <w:suppressAutoHyphens w:val="true"/>
        <w:rPr>
          <w:rFonts w:ascii="Liberation Serif" w:hAnsi="Liberation Serif" w:eastAsia="Lucida Sans Unicode" w:cs="Mangal"/>
          <w:color w:val="auto"/>
          <w:lang w:val="en-US" w:eastAsia="zh-CN" w:bidi="hi-IN"/>
        </w:rPr>
      </w:pPr>
      <w:r>
        <w:rPr>
          <w:rFonts w:eastAsia="Lucida Sans Unicode" w:cs="Mangal" w:ascii="Liberation Serif" w:hAnsi="Liberation Serif"/>
          <w:b/>
          <w:bCs/>
          <w:color w:val="auto"/>
          <w:sz w:val="20"/>
          <w:szCs w:val="20"/>
          <w:lang w:val="en-US" w:eastAsia="zh-CN" w:bidi="hi-IN"/>
        </w:rPr>
        <w:t xml:space="preserve">e-mail: </w:t>
      </w:r>
      <w:r>
        <w:rPr>
          <w:rFonts w:eastAsia="Lucida Sans Unicode" w:cs="Mangal" w:ascii="Liberation Serif" w:hAnsi="Liberation Serif"/>
          <w:b/>
          <w:color w:val="auto"/>
          <w:lang w:val="en-US" w:eastAsia="zh-CN" w:bidi="hi-IN"/>
        </w:rPr>
        <w:t>u.mg@mukachevo-rada.gov.ua</w:t>
      </w:r>
      <w:r>
        <w:rPr>
          <w:rFonts w:eastAsia="Lucida Sans Unicode" w:cs="Mangal" w:ascii="Liberation Serif" w:hAnsi="Liberation Serif"/>
          <w:b/>
          <w:bCs/>
          <w:color w:val="auto"/>
          <w:sz w:val="20"/>
          <w:szCs w:val="20"/>
          <w:lang w:val="en-US" w:eastAsia="zh-CN" w:bidi="hi-IN"/>
        </w:rPr>
        <w:t xml:space="preserve"> ,  </w:t>
      </w:r>
      <w:r>
        <w:rPr>
          <w:rFonts w:eastAsia="Lucida Sans Unicode" w:cs="Mangal" w:ascii="Liberation Serif" w:hAnsi="Liberation Serif"/>
          <w:b/>
          <w:bCs/>
          <w:color w:val="auto"/>
          <w:sz w:val="20"/>
          <w:szCs w:val="20"/>
          <w:lang w:eastAsia="zh-CN" w:bidi="hi-IN"/>
        </w:rPr>
        <w:t>код</w:t>
      </w:r>
      <w:r>
        <w:rPr>
          <w:rFonts w:eastAsia="Lucida Sans Unicode" w:cs="Mangal" w:ascii="Liberation Serif" w:hAnsi="Liberation Serif"/>
          <w:b/>
          <w:bCs/>
          <w:color w:val="auto"/>
          <w:sz w:val="20"/>
          <w:szCs w:val="20"/>
          <w:lang w:val="en-US" w:eastAsia="zh-CN" w:bidi="hi-IN"/>
        </w:rPr>
        <w:t xml:space="preserve"> </w:t>
      </w:r>
      <w:r>
        <w:rPr>
          <w:rFonts w:eastAsia="Lucida Sans Unicode" w:cs="Mangal" w:ascii="Liberation Serif" w:hAnsi="Liberation Serif"/>
          <w:b/>
          <w:bCs/>
          <w:color w:val="auto"/>
          <w:sz w:val="20"/>
          <w:szCs w:val="20"/>
          <w:lang w:eastAsia="zh-CN" w:bidi="hi-IN"/>
        </w:rPr>
        <w:t>ЄДРПОУ</w:t>
      </w:r>
      <w:r>
        <w:rPr>
          <w:rFonts w:eastAsia="Lucida Sans Unicode" w:cs="Mangal" w:ascii="Liberation Serif" w:hAnsi="Liberation Serif"/>
          <w:b/>
          <w:bCs/>
          <w:color w:val="auto"/>
          <w:sz w:val="20"/>
          <w:szCs w:val="20"/>
          <w:lang w:val="en-US" w:eastAsia="zh-CN" w:bidi="hi-IN"/>
        </w:rPr>
        <w:t xml:space="preserve"> 03344510</w:t>
      </w:r>
    </w:p>
    <w:tbl>
      <w:tblPr>
        <w:tblW w:w="9639" w:type="dxa"/>
        <w:jc w:val="left"/>
        <w:tblInd w:w="108" w:type="dxa"/>
        <w:tblCellMar>
          <w:top w:w="0" w:type="dxa"/>
          <w:left w:w="108" w:type="dxa"/>
          <w:bottom w:w="0" w:type="dxa"/>
          <w:right w:w="108" w:type="dxa"/>
        </w:tblCellMar>
        <w:tblLook w:firstRow="0" w:noVBand="0" w:lastRow="0" w:firstColumn="0" w:lastColumn="0" w:noHBand="0" w:val="0000"/>
      </w:tblPr>
      <w:tblGrid>
        <w:gridCol w:w="1842"/>
        <w:gridCol w:w="561"/>
        <w:gridCol w:w="1805"/>
        <w:gridCol w:w="1182"/>
        <w:gridCol w:w="1412"/>
        <w:gridCol w:w="539"/>
        <w:gridCol w:w="2297"/>
      </w:tblGrid>
      <w:tr>
        <w:trPr/>
        <w:tc>
          <w:tcPr>
            <w:tcW w:w="1842" w:type="dxa"/>
            <w:tcBorders>
              <w:top w:val="single" w:sz="4" w:space="0" w:color="000001"/>
              <w:bottom w:val="single" w:sz="4" w:space="0" w:color="000001"/>
            </w:tcBorders>
            <w:shd w:color="auto" w:fill="auto" w:val="clear"/>
            <w:vAlign w:val="bottom"/>
          </w:tcPr>
          <w:p>
            <w:pPr>
              <w:pStyle w:val="Normal"/>
              <w:suppressAutoHyphens w:val="true"/>
              <w:snapToGrid w:val="false"/>
              <w:jc w:val="left"/>
              <w:rPr>
                <w:rFonts w:ascii="Times New Roman" w:hAnsi="Times New Roman" w:eastAsia="Lucida Sans Unicode" w:cs="Mangal"/>
                <w:color w:val="auto"/>
                <w:lang w:val="en-US" w:eastAsia="zh-CN" w:bidi="hi-IN"/>
              </w:rPr>
            </w:pPr>
            <w:r>
              <w:rPr>
                <w:rFonts w:eastAsia="Lucida Sans Unicode" w:cs="Mangal" w:ascii="Times New Roman" w:hAnsi="Times New Roman"/>
                <w:color w:val="auto"/>
                <w:lang w:val="en-US" w:eastAsia="zh-CN" w:bidi="hi-IN"/>
              </w:rPr>
            </w:r>
          </w:p>
        </w:tc>
        <w:tc>
          <w:tcPr>
            <w:tcW w:w="561" w:type="dxa"/>
            <w:tcBorders>
              <w:top w:val="single" w:sz="4" w:space="0" w:color="000001"/>
              <w:bottom w:val="single" w:sz="4" w:space="0" w:color="000001"/>
            </w:tcBorders>
            <w:shd w:color="auto" w:fill="auto" w:val="clear"/>
            <w:vAlign w:val="bottom"/>
          </w:tcPr>
          <w:p>
            <w:pPr>
              <w:pStyle w:val="Normal"/>
              <w:suppressAutoHyphens w:val="true"/>
              <w:snapToGrid w:val="false"/>
              <w:ind w:left="-113" w:right="-113" w:hanging="0"/>
              <w:rPr>
                <w:rFonts w:ascii="Liberation Serif" w:hAnsi="Liberation Serif" w:eastAsia="Lucida Sans Unicode" w:cs="Mangal"/>
                <w:color w:val="auto"/>
                <w:lang w:eastAsia="zh-CN" w:bidi="hi-IN"/>
              </w:rPr>
            </w:pPr>
            <w:r>
              <w:rPr>
                <w:rFonts w:eastAsia="Lucida Sans Unicode" w:cs="Mangal" w:ascii="Times New Roman" w:hAnsi="Times New Roman"/>
                <w:color w:val="auto"/>
                <w:lang w:val="en-US" w:eastAsia="zh-CN" w:bidi="hi-IN"/>
              </w:rPr>
              <w:t xml:space="preserve"> </w:t>
            </w:r>
            <w:r>
              <w:rPr>
                <w:rFonts w:eastAsia="Lucida Sans Unicode" w:cs="Mangal" w:ascii="Times New Roman" w:hAnsi="Times New Roman"/>
                <w:color w:val="auto"/>
                <w:lang w:eastAsia="zh-CN" w:bidi="hi-IN"/>
              </w:rPr>
              <w:t>№</w:t>
            </w:r>
          </w:p>
        </w:tc>
        <w:tc>
          <w:tcPr>
            <w:tcW w:w="1805" w:type="dxa"/>
            <w:tcBorders>
              <w:top w:val="single" w:sz="4" w:space="0" w:color="000001"/>
              <w:bottom w:val="single" w:sz="4" w:space="0" w:color="000001"/>
            </w:tcBorders>
            <w:shd w:color="auto" w:fill="auto" w:val="clear"/>
            <w:vAlign w:val="bottom"/>
          </w:tcPr>
          <w:p>
            <w:pPr>
              <w:pStyle w:val="Normal"/>
              <w:suppressAutoHyphens w:val="true"/>
              <w:snapToGrid w:val="false"/>
              <w:jc w:val="left"/>
              <w:rPr>
                <w:rFonts w:ascii="Times New Roman" w:hAnsi="Times New Roman" w:eastAsia="Lucida Sans Unicode" w:cs="Mangal"/>
                <w:color w:val="auto"/>
                <w:lang w:eastAsia="zh-CN" w:bidi="hi-IN"/>
              </w:rPr>
            </w:pPr>
            <w:r>
              <w:rPr>
                <w:rFonts w:eastAsia="Lucida Sans Unicode" w:cs="Mangal" w:ascii="Times New Roman" w:hAnsi="Times New Roman"/>
                <w:color w:val="auto"/>
                <w:lang w:eastAsia="zh-CN" w:bidi="hi-IN"/>
              </w:rPr>
            </w:r>
          </w:p>
        </w:tc>
        <w:tc>
          <w:tcPr>
            <w:tcW w:w="1182" w:type="dxa"/>
            <w:tcBorders>
              <w:top w:val="single" w:sz="4" w:space="0" w:color="000001"/>
              <w:bottom w:val="single" w:sz="4" w:space="0" w:color="000001"/>
            </w:tcBorders>
            <w:shd w:color="auto" w:fill="auto" w:val="clear"/>
            <w:vAlign w:val="bottom"/>
          </w:tcPr>
          <w:p>
            <w:pPr>
              <w:pStyle w:val="Normal"/>
              <w:suppressAutoHyphens w:val="true"/>
              <w:snapToGrid w:val="false"/>
              <w:jc w:val="left"/>
              <w:rPr>
                <w:rFonts w:ascii="Liberation Serif" w:hAnsi="Liberation Serif" w:eastAsia="Lucida Sans Unicode" w:cs="Mangal"/>
                <w:color w:val="auto"/>
                <w:lang w:val="uk-UA" w:eastAsia="zh-CN" w:bidi="hi-IN"/>
              </w:rPr>
            </w:pPr>
            <w:r>
              <w:rPr>
                <w:rFonts w:eastAsia="Lucida Sans Unicode" w:cs="Mangal" w:ascii="Times New Roman" w:hAnsi="Times New Roman"/>
                <w:color w:val="auto"/>
                <w:lang w:eastAsia="zh-CN" w:bidi="hi-IN"/>
              </w:rPr>
              <w:t xml:space="preserve">  </w:t>
            </w:r>
          </w:p>
          <w:p>
            <w:pPr>
              <w:pStyle w:val="Normal"/>
              <w:suppressAutoHyphens w:val="true"/>
              <w:jc w:val="right"/>
              <w:rPr>
                <w:rFonts w:ascii="Liberation Serif" w:hAnsi="Liberation Serif" w:eastAsia="Lucida Sans Unicode" w:cs="Mangal"/>
                <w:color w:val="auto"/>
                <w:lang w:eastAsia="zh-CN" w:bidi="hi-IN"/>
              </w:rPr>
            </w:pPr>
            <w:r>
              <w:rPr>
                <w:rFonts w:eastAsia="Lucida Sans Unicode" w:cs="Mangal" w:ascii="Times New Roman" w:hAnsi="Times New Roman"/>
                <w:color w:val="auto"/>
                <w:lang w:eastAsia="zh-CN" w:bidi="hi-IN"/>
              </w:rPr>
              <w:t xml:space="preserve">  </w:t>
            </w:r>
            <w:r>
              <w:rPr>
                <w:rFonts w:eastAsia="Lucida Sans Unicode" w:cs="Mangal" w:ascii="Times New Roman" w:hAnsi="Times New Roman"/>
                <w:color w:val="auto"/>
                <w:u w:val="single"/>
                <w:lang w:eastAsia="zh-CN" w:bidi="hi-IN"/>
              </w:rPr>
              <w:t>На</w:t>
            </w:r>
            <w:r>
              <w:rPr>
                <w:rFonts w:eastAsia="Lucida Sans Unicode" w:cs="Mangal" w:ascii="Times New Roman" w:hAnsi="Times New Roman"/>
                <w:color w:val="auto"/>
                <w:lang w:eastAsia="zh-CN" w:bidi="hi-IN"/>
              </w:rPr>
              <w:t xml:space="preserve">  №</w:t>
            </w:r>
          </w:p>
        </w:tc>
        <w:tc>
          <w:tcPr>
            <w:tcW w:w="1412" w:type="dxa"/>
            <w:tcBorders>
              <w:top w:val="single" w:sz="4" w:space="0" w:color="000001"/>
              <w:bottom w:val="single" w:sz="4" w:space="0" w:color="000001"/>
            </w:tcBorders>
            <w:shd w:color="auto" w:fill="auto" w:val="clear"/>
            <w:vAlign w:val="bottom"/>
          </w:tcPr>
          <w:p>
            <w:pPr>
              <w:pStyle w:val="Normal"/>
              <w:suppressAutoHyphens w:val="true"/>
              <w:snapToGrid w:val="false"/>
              <w:ind w:left="-57" w:right="-57" w:hanging="0"/>
              <w:jc w:val="left"/>
              <w:rPr>
                <w:rFonts w:ascii="Times New Roman" w:hAnsi="Times New Roman" w:eastAsia="Lucida Sans Unicode" w:cs="Mangal"/>
                <w:color w:val="auto"/>
                <w:spacing w:val="-8"/>
                <w:lang w:eastAsia="zh-CN" w:bidi="hi-IN"/>
              </w:rPr>
            </w:pPr>
            <w:r>
              <w:rPr>
                <w:rFonts w:eastAsia="Lucida Sans Unicode" w:cs="Mangal" w:ascii="Times New Roman" w:hAnsi="Times New Roman"/>
                <w:color w:val="auto"/>
                <w:spacing w:val="-8"/>
                <w:lang w:eastAsia="zh-CN" w:bidi="hi-IN"/>
              </w:rPr>
            </w:r>
          </w:p>
        </w:tc>
        <w:tc>
          <w:tcPr>
            <w:tcW w:w="539" w:type="dxa"/>
            <w:tcBorders>
              <w:top w:val="single" w:sz="4" w:space="0" w:color="000001"/>
              <w:bottom w:val="single" w:sz="4" w:space="0" w:color="000001"/>
            </w:tcBorders>
            <w:shd w:color="auto" w:fill="auto" w:val="clear"/>
            <w:vAlign w:val="bottom"/>
          </w:tcPr>
          <w:p>
            <w:pPr>
              <w:pStyle w:val="Normal"/>
              <w:suppressAutoHyphens w:val="true"/>
              <w:snapToGrid w:val="false"/>
              <w:ind w:left="-113" w:right="-113" w:hanging="0"/>
              <w:rPr>
                <w:rFonts w:ascii="Liberation Serif" w:hAnsi="Liberation Serif" w:eastAsia="Lucida Sans Unicode" w:cs="Mangal"/>
                <w:color w:val="auto"/>
                <w:lang w:eastAsia="zh-CN" w:bidi="hi-IN"/>
              </w:rPr>
            </w:pPr>
            <w:r>
              <w:rPr>
                <w:rFonts w:eastAsia="Lucida Sans Unicode" w:cs="Mangal" w:ascii="Times New Roman" w:hAnsi="Times New Roman"/>
                <w:color w:val="auto"/>
                <w:lang w:eastAsia="zh-CN" w:bidi="hi-IN"/>
              </w:rPr>
              <w:t>від</w:t>
            </w:r>
          </w:p>
        </w:tc>
        <w:tc>
          <w:tcPr>
            <w:tcW w:w="2297" w:type="dxa"/>
            <w:tcBorders>
              <w:top w:val="single" w:sz="4" w:space="0" w:color="000001"/>
              <w:bottom w:val="single" w:sz="4" w:space="0" w:color="000001"/>
            </w:tcBorders>
            <w:shd w:color="auto" w:fill="auto" w:val="clear"/>
            <w:vAlign w:val="bottom"/>
          </w:tcPr>
          <w:p>
            <w:pPr>
              <w:pStyle w:val="Normal"/>
              <w:suppressAutoHyphens w:val="true"/>
              <w:snapToGrid w:val="false"/>
              <w:ind w:right="-57" w:hanging="0"/>
              <w:jc w:val="left"/>
              <w:rPr>
                <w:rFonts w:ascii="Times New Roman" w:hAnsi="Times New Roman" w:eastAsia="Lucida Sans Unicode" w:cs="Mangal"/>
                <w:color w:val="auto"/>
                <w:lang w:val="uk-UA" w:eastAsia="zh-CN" w:bidi="hi-IN"/>
              </w:rPr>
            </w:pPr>
            <w:r>
              <w:rPr>
                <w:rFonts w:eastAsia="Lucida Sans Unicode" w:cs="Mangal" w:ascii="Times New Roman" w:hAnsi="Times New Roman"/>
                <w:color w:val="auto"/>
                <w:lang w:val="uk-UA" w:eastAsia="zh-CN" w:bidi="hi-IN"/>
              </w:rPr>
            </w:r>
          </w:p>
        </w:tc>
      </w:tr>
    </w:tbl>
    <w:p>
      <w:pPr>
        <w:pStyle w:val="Normal"/>
        <w:widowControl/>
        <w:spacing w:before="600" w:after="0"/>
        <w:ind w:firstLine="567"/>
        <w:rPr>
          <w:rFonts w:ascii="Times New Roman" w:hAnsi="Times New Roman" w:cs="Times New Roman"/>
          <w:b/>
          <w:b/>
          <w:color w:val="auto"/>
          <w:lang w:val="uk-UA"/>
        </w:rPr>
      </w:pPr>
      <w:r>
        <w:rPr>
          <w:rFonts w:cs="Times New Roman" w:ascii="Times New Roman" w:hAnsi="Times New Roman"/>
          <w:b/>
          <w:color w:val="auto"/>
          <w:lang w:val="uk-UA"/>
        </w:rPr>
        <w:t xml:space="preserve">ДОЗВІЛ </w:t>
      </w:r>
      <w:bookmarkStart w:id="7" w:name="o68"/>
      <w:bookmarkEnd w:id="7"/>
      <w:r>
        <w:rPr>
          <w:rFonts w:cs="Times New Roman" w:ascii="Times New Roman" w:hAnsi="Times New Roman"/>
          <w:b/>
          <w:color w:val="auto"/>
          <w:lang w:val="uk-UA"/>
        </w:rPr>
        <w:t>№ _______________</w:t>
      </w:r>
    </w:p>
    <w:p>
      <w:pPr>
        <w:pStyle w:val="Normal"/>
        <w:widowControl/>
        <w:spacing w:before="120" w:after="0"/>
        <w:jc w:val="both"/>
        <w:rPr>
          <w:rFonts w:ascii="Times New Roman" w:hAnsi="Times New Roman" w:cs="Times New Roman"/>
          <w:color w:val="auto"/>
          <w:lang w:val="uk-UA"/>
        </w:rPr>
      </w:pPr>
      <w:r>
        <w:rPr>
          <w:rFonts w:cs="Times New Roman" w:ascii="Times New Roman" w:hAnsi="Times New Roman"/>
          <w:color w:val="auto"/>
          <w:lang w:val="uk-UA"/>
        </w:rPr>
        <w:t>Дозволяється _________________________________________________________________</w:t>
        <w:br/>
        <w:t xml:space="preserve"> </w:t>
        <w:tab/>
        <w:tab/>
        <w:tab/>
        <w:tab/>
        <w:tab/>
      </w:r>
      <w:r>
        <w:rPr>
          <w:rFonts w:cs="Times New Roman" w:ascii="Times New Roman" w:hAnsi="Times New Roman"/>
          <w:color w:val="auto"/>
          <w:sz w:val="20"/>
          <w:szCs w:val="20"/>
          <w:lang w:val="uk-UA"/>
        </w:rPr>
        <w:t xml:space="preserve">(найменування юридичної особи, </w:t>
      </w:r>
      <w:bookmarkStart w:id="8" w:name="o70"/>
      <w:bookmarkEnd w:id="8"/>
      <w:r>
        <w:rPr>
          <w:rFonts w:cs="Times New Roman" w:ascii="Times New Roman" w:hAnsi="Times New Roman"/>
          <w:color w:val="auto"/>
          <w:sz w:val="20"/>
          <w:szCs w:val="20"/>
          <w:lang w:val="uk-UA"/>
        </w:rPr>
        <w:t>прізвище,</w:t>
      </w:r>
    </w:p>
    <w:p>
      <w:pPr>
        <w:pStyle w:val="Normal"/>
        <w:widowControl/>
        <w:spacing w:before="120" w:after="0"/>
        <w:rPr>
          <w:rFonts w:ascii="Times New Roman" w:hAnsi="Times New Roman" w:cs="Times New Roman"/>
          <w:color w:val="auto"/>
          <w:lang w:val="uk-UA"/>
        </w:rPr>
      </w:pPr>
      <w:r>
        <w:rPr>
          <w:rFonts w:cs="Times New Roman" w:ascii="Times New Roman" w:hAnsi="Times New Roman"/>
          <w:color w:val="auto"/>
          <w:lang w:val="uk-UA"/>
        </w:rPr>
        <w:t>_____________________________________________________________________________</w:t>
      </w:r>
      <w:bookmarkStart w:id="9" w:name="o71"/>
      <w:bookmarkEnd w:id="9"/>
      <w:r>
        <w:rPr>
          <w:rFonts w:cs="Times New Roman" w:ascii="Times New Roman" w:hAnsi="Times New Roman"/>
          <w:color w:val="auto"/>
          <w:lang w:val="uk-UA"/>
        </w:rPr>
        <w:br/>
      </w:r>
      <w:r>
        <w:rPr>
          <w:rFonts w:cs="Times New Roman" w:ascii="Times New Roman" w:hAnsi="Times New Roman"/>
          <w:color w:val="auto"/>
          <w:sz w:val="20"/>
          <w:szCs w:val="20"/>
          <w:lang w:val="uk-UA"/>
        </w:rPr>
        <w:t>ім’я та по батькові фізичної особи — підприємця, їх місцезнаходження)</w:t>
      </w:r>
    </w:p>
    <w:p>
      <w:pPr>
        <w:pStyle w:val="Normal"/>
        <w:widowControl/>
        <w:spacing w:before="120" w:after="0"/>
        <w:jc w:val="both"/>
        <w:rPr>
          <w:rFonts w:ascii="Times New Roman" w:hAnsi="Times New Roman" w:cs="Times New Roman"/>
          <w:color w:val="auto"/>
          <w:lang w:val="uk-UA"/>
        </w:rPr>
      </w:pPr>
      <w:bookmarkStart w:id="10" w:name="o74"/>
      <w:bookmarkEnd w:id="10"/>
      <w:r>
        <w:rPr>
          <w:rFonts w:cs="Times New Roman" w:ascii="Times New Roman" w:hAnsi="Times New Roman"/>
          <w:color w:val="auto"/>
        </w:rPr>
        <w:t>_________________</w:t>
      </w:r>
      <w:r>
        <w:rPr>
          <w:rFonts w:cs="Times New Roman" w:ascii="Times New Roman" w:hAnsi="Times New Roman"/>
          <w:color w:val="auto"/>
          <w:lang w:val="uk-UA"/>
        </w:rPr>
        <w:t>____________________________________________________________</w:t>
      </w:r>
    </w:p>
    <w:p>
      <w:pPr>
        <w:pStyle w:val="Normal"/>
        <w:widowControl/>
        <w:spacing w:before="120" w:after="0"/>
        <w:jc w:val="both"/>
        <w:rPr>
          <w:rFonts w:ascii="Times New Roman" w:hAnsi="Times New Roman" w:cs="Times New Roman"/>
          <w:color w:val="auto"/>
          <w:lang w:val="uk-UA"/>
        </w:rPr>
      </w:pPr>
      <w:bookmarkStart w:id="11" w:name="o83"/>
      <w:bookmarkStart w:id="12" w:name="o80"/>
      <w:bookmarkEnd w:id="11"/>
      <w:bookmarkEnd w:id="12"/>
      <w:r>
        <w:rPr>
          <w:rFonts w:cs="Times New Roman" w:ascii="Times New Roman" w:hAnsi="Times New Roman"/>
          <w:color w:val="auto"/>
          <w:lang w:val="uk-UA"/>
        </w:rPr>
        <w:t>проводити_</w:t>
      </w:r>
      <w:r>
        <w:rPr>
          <w:rFonts w:cs="Times New Roman" w:ascii="Times New Roman" w:hAnsi="Times New Roman"/>
          <w:color w:val="auto"/>
        </w:rPr>
        <w:t>_</w:t>
      </w:r>
      <w:r>
        <w:rPr>
          <w:rFonts w:cs="Times New Roman" w:ascii="Times New Roman" w:hAnsi="Times New Roman"/>
          <w:color w:val="auto"/>
          <w:lang w:val="uk-UA"/>
        </w:rPr>
        <w:t>______</w:t>
      </w:r>
      <w:r>
        <w:rPr>
          <w:rFonts w:cs="Times New Roman" w:ascii="Times New Roman" w:hAnsi="Times New Roman"/>
          <w:color w:val="auto"/>
        </w:rPr>
        <w:t>_______________</w:t>
      </w:r>
      <w:r>
        <w:rPr>
          <w:rFonts w:cs="Times New Roman" w:ascii="Times New Roman" w:hAnsi="Times New Roman"/>
          <w:color w:val="auto"/>
          <w:lang w:val="uk-UA"/>
        </w:rPr>
        <w:t>_____________________________________________</w:t>
      </w:r>
      <w:r>
        <w:rPr>
          <w:rFonts w:cs="Times New Roman" w:ascii="Times New Roman" w:hAnsi="Times New Roman"/>
          <w:color w:val="auto"/>
        </w:rPr>
        <w:br/>
        <w:t xml:space="preserve"> </w:t>
        <w:tab/>
        <w:tab/>
        <w:tab/>
        <w:t xml:space="preserve">           </w:t>
      </w:r>
      <w:bookmarkStart w:id="13" w:name="o84"/>
      <w:bookmarkEnd w:id="13"/>
      <w:r>
        <w:rPr>
          <w:rFonts w:cs="Times New Roman" w:ascii="Times New Roman" w:hAnsi="Times New Roman"/>
          <w:color w:val="auto"/>
          <w:sz w:val="20"/>
          <w:szCs w:val="20"/>
          <w:lang w:val="uk-UA"/>
        </w:rPr>
        <w:t>(вид земляних та/або ремонтних робіт та місце їх проведення)</w:t>
      </w:r>
    </w:p>
    <w:p>
      <w:pPr>
        <w:pStyle w:val="Normal"/>
        <w:widowControl/>
        <w:spacing w:before="120" w:after="0"/>
        <w:jc w:val="both"/>
        <w:rPr>
          <w:rFonts w:ascii="Times New Roman" w:hAnsi="Times New Roman" w:cs="Times New Roman"/>
          <w:color w:val="auto"/>
          <w:lang w:val="uk-UA"/>
        </w:rPr>
      </w:pPr>
      <w:r>
        <w:rPr>
          <w:rFonts w:cs="Times New Roman" w:ascii="Times New Roman" w:hAnsi="Times New Roman"/>
          <w:color w:val="auto"/>
          <w:lang w:val="uk-UA"/>
        </w:rPr>
        <w:t>___________</w:t>
      </w:r>
      <w:r>
        <w:rPr>
          <w:rFonts w:cs="Times New Roman" w:ascii="Times New Roman" w:hAnsi="Times New Roman"/>
          <w:color w:val="auto"/>
        </w:rPr>
        <w:t>________________</w:t>
      </w:r>
      <w:bookmarkStart w:id="14" w:name="o85"/>
      <w:bookmarkEnd w:id="14"/>
      <w:r>
        <w:rPr>
          <w:rFonts w:cs="Times New Roman" w:ascii="Times New Roman" w:hAnsi="Times New Roman"/>
          <w:color w:val="auto"/>
          <w:lang w:val="uk-UA"/>
        </w:rPr>
        <w:t>__________________________________________________</w:t>
      </w:r>
    </w:p>
    <w:p>
      <w:pPr>
        <w:pStyle w:val="Normal"/>
        <w:widowControl/>
        <w:spacing w:before="120" w:after="0"/>
        <w:jc w:val="both"/>
        <w:rPr>
          <w:rFonts w:ascii="Times New Roman" w:hAnsi="Times New Roman" w:cs="Times New Roman"/>
          <w:color w:val="auto"/>
          <w:lang w:val="uk-UA"/>
        </w:rPr>
      </w:pPr>
      <w:r>
        <w:rPr>
          <w:rFonts w:cs="Times New Roman" w:ascii="Times New Roman" w:hAnsi="Times New Roman"/>
          <w:color w:val="auto"/>
          <w:lang w:val="uk-UA"/>
        </w:rPr>
        <w:t>на об’єкті благоустрою_______</w:t>
      </w:r>
      <w:r>
        <w:rPr>
          <w:rFonts w:cs="Times New Roman" w:ascii="Times New Roman" w:hAnsi="Times New Roman"/>
          <w:color w:val="auto"/>
        </w:rPr>
        <w:t>________</w:t>
      </w:r>
      <w:r>
        <w:rPr>
          <w:rFonts w:cs="Times New Roman" w:ascii="Times New Roman" w:hAnsi="Times New Roman"/>
          <w:color w:val="auto"/>
          <w:lang w:val="uk-UA"/>
        </w:rPr>
        <w:t>__________________________________________</w:t>
      </w:r>
    </w:p>
    <w:p>
      <w:pPr>
        <w:pStyle w:val="Normal"/>
        <w:widowControl/>
        <w:spacing w:before="120" w:after="0"/>
        <w:rPr>
          <w:rFonts w:ascii="Times New Roman" w:hAnsi="Times New Roman" w:cs="Times New Roman"/>
          <w:color w:val="auto"/>
          <w:lang w:val="uk-UA"/>
        </w:rPr>
      </w:pPr>
      <w:r>
        <w:rPr>
          <w:rFonts w:cs="Times New Roman" w:ascii="Times New Roman" w:hAnsi="Times New Roman"/>
          <w:color w:val="auto"/>
          <w:lang w:val="uk-UA"/>
        </w:rPr>
        <w:t>____________________</w:t>
      </w:r>
      <w:r>
        <w:rPr>
          <w:rFonts w:cs="Times New Roman" w:ascii="Times New Roman" w:hAnsi="Times New Roman"/>
          <w:color w:val="auto"/>
        </w:rPr>
        <w:t>_______________</w:t>
      </w:r>
      <w:r>
        <w:rPr>
          <w:rFonts w:cs="Times New Roman" w:ascii="Times New Roman" w:hAnsi="Times New Roman"/>
          <w:color w:val="auto"/>
          <w:lang w:val="uk-UA"/>
        </w:rPr>
        <w:t>__________________________________________.</w:t>
      </w:r>
      <w:r>
        <w:rPr>
          <w:rFonts w:cs="Times New Roman" w:ascii="Times New Roman" w:hAnsi="Times New Roman"/>
          <w:color w:val="auto"/>
        </w:rPr>
        <w:br/>
      </w:r>
      <w:r>
        <w:rPr>
          <w:rFonts w:cs="Times New Roman" w:ascii="Times New Roman" w:hAnsi="Times New Roman"/>
          <w:color w:val="auto"/>
          <w:sz w:val="20"/>
          <w:szCs w:val="20"/>
          <w:lang w:val="uk-UA"/>
        </w:rPr>
        <w:t>(назва об’єкта благоустрою та його місцезнаходження)</w:t>
      </w:r>
    </w:p>
    <w:p>
      <w:pPr>
        <w:pStyle w:val="Normal"/>
        <w:widowControl/>
        <w:spacing w:before="240" w:after="0"/>
        <w:ind w:firstLine="567"/>
        <w:jc w:val="both"/>
        <w:rPr>
          <w:rFonts w:ascii="Times New Roman" w:hAnsi="Times New Roman" w:cs="Times New Roman"/>
          <w:color w:val="auto"/>
          <w:lang w:val="uk-UA"/>
        </w:rPr>
      </w:pPr>
      <w:r>
        <w:rPr>
          <w:rFonts w:cs="Times New Roman" w:ascii="Times New Roman" w:hAnsi="Times New Roman"/>
          <w:color w:val="auto"/>
          <w:lang w:val="uk-UA"/>
        </w:rPr>
        <w:t>Дозвіл діє з ______________ 20____.  до ______________ 20____.</w:t>
      </w:r>
    </w:p>
    <w:p>
      <w:pPr>
        <w:pStyle w:val="Normal"/>
        <w:widowControl/>
        <w:spacing w:before="120" w:after="480"/>
        <w:ind w:firstLine="567"/>
        <w:jc w:val="both"/>
        <w:rPr>
          <w:rFonts w:ascii="Times New Roman" w:hAnsi="Times New Roman" w:cs="Times New Roman"/>
          <w:color w:val="auto"/>
          <w:lang w:val="uk-UA"/>
        </w:rPr>
      </w:pPr>
      <w:r>
        <w:rPr>
          <w:rFonts w:cs="Times New Roman" w:ascii="Times New Roman" w:hAnsi="Times New Roman"/>
          <w:color w:val="auto"/>
          <w:lang w:val="uk-UA"/>
        </w:rPr>
      </w:r>
    </w:p>
    <w:p>
      <w:pPr>
        <w:pStyle w:val="Normal"/>
        <w:widowControl/>
        <w:spacing w:before="120" w:after="480"/>
        <w:ind w:firstLine="567"/>
        <w:jc w:val="both"/>
        <w:rPr>
          <w:rFonts w:ascii="Antiqua" w:hAnsi="Antiqua" w:eastAsia="Times New Roman CYR" w:cs="Times New Roman"/>
          <w:b/>
          <w:b/>
          <w:color w:val="auto"/>
          <w:sz w:val="30"/>
          <w:szCs w:val="30"/>
        </w:rPr>
      </w:pPr>
      <w:r>
        <w:rPr>
          <w:rFonts w:cs="Times New Roman" w:ascii="Times New Roman" w:hAnsi="Times New Roman"/>
          <w:color w:val="auto"/>
          <w:lang w:val="uk-UA"/>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 або може у випадках, передбачених пунктом 2 частини другої статті 19 Закону України «Про благоустрій населених пунктів», сплатити його відновну вартість.</w:t>
      </w:r>
      <w:r>
        <w:rPr>
          <w:rFonts w:eastAsia="Times New Roman CYR" w:cs="Times New Roman" w:ascii="Antiqua" w:hAnsi="Antiqua"/>
          <w:b/>
          <w:color w:val="auto"/>
          <w:sz w:val="30"/>
          <w:szCs w:val="30"/>
        </w:rPr>
        <w:t xml:space="preserve"> </w:t>
      </w:r>
    </w:p>
    <w:p>
      <w:pPr>
        <w:pStyle w:val="Normal"/>
        <w:suppressAutoHyphens w:val="true"/>
        <w:jc w:val="left"/>
        <w:rPr>
          <w:rFonts w:ascii="Liberation Serif" w:hAnsi="Liberation Serif" w:eastAsia="Lucida Sans Unicode" w:cs="Mangal"/>
          <w:b/>
          <w:b/>
          <w:color w:val="auto"/>
          <w:sz w:val="30"/>
          <w:szCs w:val="30"/>
          <w:lang w:eastAsia="zh-CN" w:bidi="hi-IN"/>
        </w:rPr>
      </w:pPr>
      <w:r>
        <w:rPr>
          <w:rFonts w:eastAsia="Times New Roman CYR" w:cs="Mangal" w:ascii="Times New Roman" w:hAnsi="Times New Roman"/>
          <w:b/>
          <w:color w:val="auto"/>
          <w:sz w:val="30"/>
          <w:szCs w:val="30"/>
          <w:lang w:eastAsia="zh-CN" w:bidi="hi-IN"/>
        </w:rPr>
        <w:t>Н</w:t>
      </w:r>
      <w:r>
        <w:rPr>
          <w:rFonts w:eastAsia="Lucida Sans Unicode" w:cs="Mangal" w:ascii="Times New Roman" w:hAnsi="Times New Roman"/>
          <w:b/>
          <w:color w:val="auto"/>
          <w:sz w:val="30"/>
          <w:szCs w:val="30"/>
          <w:lang w:eastAsia="zh-CN" w:bidi="hi-IN"/>
        </w:rPr>
        <w:t>ачальник  УМГ</w:t>
      </w:r>
      <w:r>
        <w:rPr>
          <w:rFonts w:eastAsia="Lucida Sans Unicode" w:cs="Mangal" w:ascii="Liberation Serif" w:hAnsi="Liberation Serif"/>
          <w:b/>
          <w:color w:val="auto"/>
          <w:sz w:val="30"/>
          <w:szCs w:val="30"/>
          <w:lang w:eastAsia="zh-CN" w:bidi="hi-IN"/>
        </w:rPr>
        <w:tab/>
        <w:tab/>
        <w:t xml:space="preserve">  </w:t>
      </w:r>
      <w:r>
        <w:rPr>
          <w:rFonts w:eastAsia="Lucida Sans Unicode" w:cs="Mangal" w:ascii="Liberation Serif" w:hAnsi="Liberation Serif"/>
          <w:color w:val="auto"/>
          <w:sz w:val="30"/>
          <w:szCs w:val="30"/>
          <w:lang w:eastAsia="zh-CN" w:bidi="hi-IN"/>
        </w:rPr>
        <w:t xml:space="preserve"> </w:t>
      </w:r>
      <w:r>
        <w:rPr>
          <w:rFonts w:eastAsia="Lucida Sans Unicode" w:cs="Mangal" w:ascii="Calibri" w:hAnsi="Calibri"/>
          <w:color w:val="auto"/>
          <w:sz w:val="30"/>
          <w:szCs w:val="30"/>
          <w:lang w:eastAsia="zh-CN" w:bidi="hi-IN"/>
        </w:rPr>
        <w:t>___________________</w:t>
      </w:r>
      <w:r>
        <w:rPr>
          <w:rFonts w:eastAsia="Lucida Sans Unicode" w:cs="Mangal" w:ascii="Liberation Serif" w:hAnsi="Liberation Serif"/>
          <w:b/>
          <w:color w:val="auto"/>
          <w:sz w:val="30"/>
          <w:szCs w:val="30"/>
          <w:lang w:eastAsia="zh-CN" w:bidi="hi-IN"/>
        </w:rPr>
        <w:t xml:space="preserve">    </w:t>
      </w:r>
      <w:r>
        <w:rPr>
          <w:rFonts w:eastAsia="Lucida Sans Unicode" w:cs="Mangal" w:ascii="Liberation Serif" w:hAnsi="Liberation Serif"/>
          <w:b/>
          <w:color w:val="auto"/>
          <w:sz w:val="30"/>
          <w:szCs w:val="30"/>
          <w:lang w:val="uk-UA" w:eastAsia="zh-CN" w:bidi="hi-IN"/>
        </w:rPr>
        <w:t>__________________</w:t>
      </w:r>
    </w:p>
    <w:p>
      <w:pPr>
        <w:pStyle w:val="Normal"/>
        <w:widowControl/>
        <w:jc w:val="left"/>
        <w:rPr>
          <w:rFonts w:ascii="Liberation Serif" w:hAnsi="Liberation Serif" w:eastAsia="Lucida Sans Unicode" w:cs="Mangal"/>
          <w:b/>
          <w:b/>
          <w:color w:val="auto"/>
          <w:sz w:val="30"/>
          <w:szCs w:val="30"/>
          <w:lang w:eastAsia="zh-CN" w:bidi="hi-IN"/>
        </w:rPr>
      </w:pPr>
      <w:r>
        <w:rPr>
          <w:rFonts w:eastAsia="Lucida Sans Unicode" w:cs="Mangal" w:ascii="Liberation Serif" w:hAnsi="Liberation Serif"/>
          <w:b/>
          <w:color w:val="auto"/>
          <w:sz w:val="30"/>
          <w:szCs w:val="30"/>
          <w:lang w:eastAsia="zh-CN" w:bidi="hi-IN"/>
        </w:rPr>
      </w:r>
      <w:r>
        <w:br w:type="page"/>
      </w:r>
    </w:p>
    <w:p>
      <w:pPr>
        <w:pStyle w:val="Normal"/>
        <w:numPr>
          <w:ilvl w:val="0"/>
          <w:numId w:val="0"/>
        </w:numPr>
        <w:suppressAutoHyphens w:val="true"/>
        <w:ind w:left="4394" w:firstLine="709"/>
        <w:jc w:val="both"/>
        <w:outlineLvl w:val="2"/>
        <w:rPr>
          <w:rFonts w:ascii="Times New Roman" w:hAnsi="Times New Roman" w:cs="Times New Roman"/>
          <w:color w:val="auto"/>
        </w:rPr>
      </w:pPr>
      <w:r>
        <w:rPr>
          <w:rFonts w:cs="Times New Roman" w:ascii="Times New Roman" w:hAnsi="Times New Roman"/>
          <w:color w:val="auto"/>
          <w:lang w:val="uk-UA" w:bidi="hi-IN"/>
        </w:rPr>
        <w:t>Додаток 4</w:t>
      </w:r>
    </w:p>
    <w:p>
      <w:pPr>
        <w:pStyle w:val="Normal"/>
        <w:keepNext w:val="true"/>
        <w:numPr>
          <w:ilvl w:val="0"/>
          <w:numId w:val="0"/>
        </w:numPr>
        <w:suppressAutoHyphens w:val="true"/>
        <w:ind w:left="5103" w:hanging="0"/>
        <w:jc w:val="both"/>
        <w:outlineLvl w:val="2"/>
        <w:rPr>
          <w:rFonts w:ascii="Times New Roman" w:hAnsi="Times New Roman" w:cs="Times New Roman"/>
          <w:color w:val="auto"/>
          <w:lang w:val="uk-UA" w:bidi="hi-IN"/>
        </w:rPr>
      </w:pPr>
      <w:r>
        <w:rPr>
          <w:rFonts w:cs="Times New Roman" w:ascii="Times New Roman" w:hAnsi="Times New Roman"/>
          <w:color w:val="auto"/>
          <w:lang w:val="uk-UA" w:bidi="hi-IN"/>
        </w:rPr>
        <w:t>до Правил проведення земляних робіт на території Мукачівської міської об’єднаної територіальної громади</w:t>
      </w:r>
    </w:p>
    <w:p>
      <w:pPr>
        <w:pStyle w:val="Normal"/>
        <w:widowControl/>
        <w:jc w:val="left"/>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jc w:val="left"/>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widowControl/>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ПОВІДОМЛЕННЯ</w:t>
      </w:r>
    </w:p>
    <w:p>
      <w:pPr>
        <w:pStyle w:val="Normal"/>
        <w:widowControl/>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про проведення аварійно-відновлювальних робіт</w:t>
      </w:r>
    </w:p>
    <w:p>
      <w:pPr>
        <w:pStyle w:val="Normal"/>
        <w:widowControl/>
        <w:jc w:val="both"/>
        <w:rPr>
          <w:rFonts w:ascii="Times New Roman CYR" w:hAnsi="Times New Roman CYR" w:cs="Times New Roman CYR"/>
          <w:b/>
          <w:b/>
          <w:bCs/>
          <w:color w:val="auto"/>
          <w:sz w:val="28"/>
          <w:szCs w:val="28"/>
          <w:lang w:val="uk-UA"/>
        </w:rPr>
      </w:pPr>
      <w:r>
        <w:rPr>
          <w:rFonts w:cs="Times New Roman CYR" w:ascii="Times New Roman CYR" w:hAnsi="Times New Roman CYR"/>
          <w:b/>
          <w:bCs/>
          <w:color w:val="auto"/>
          <w:sz w:val="28"/>
          <w:szCs w:val="28"/>
          <w:lang w:val="uk-UA"/>
        </w:rPr>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1. Найменування підприємства/установи/організації, яка проводить аварійно-відновлювальні роботи:</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2. Місце проведення аварійно-відновлювальних робіт:</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3. Дата та час виникнення аварійної ситуації:</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4. Характер аварійних робіт:</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w:t>
      </w:r>
    </w:p>
    <w:p>
      <w:pPr>
        <w:pStyle w:val="Normal"/>
        <w:widowControl/>
        <w:jc w:val="both"/>
        <w:rPr>
          <w:rFonts w:ascii="Times New Roman CYR" w:hAnsi="Times New Roman CYR" w:cs="Times New Roman CYR"/>
          <w:color w:val="auto"/>
          <w:sz w:val="28"/>
          <w:szCs w:val="28"/>
          <w:lang w:val="uk-UA"/>
        </w:rPr>
      </w:pPr>
      <w:r>
        <w:rPr>
          <w:rFonts w:cs="Times New Roman CYR" w:ascii="Times New Roman CYR" w:hAnsi="Times New Roman CYR"/>
          <w:color w:val="auto"/>
          <w:sz w:val="28"/>
          <w:szCs w:val="28"/>
          <w:lang w:val="uk-UA"/>
        </w:rPr>
        <w:t>_____________________________________________________________________________________________________________________________________________________________________________________________________________</w:t>
      </w:r>
    </w:p>
    <w:p>
      <w:pPr>
        <w:pStyle w:val="Normal"/>
        <w:widowControl/>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ind w:firstLine="709"/>
        <w:jc w:val="both"/>
        <w:rPr>
          <w:rFonts w:ascii="Times New Roman" w:hAnsi="Times New Roman" w:cs="Times New Roman"/>
          <w:b/>
          <w:b/>
          <w:bCs/>
          <w:color w:val="auto"/>
          <w:sz w:val="28"/>
          <w:szCs w:val="28"/>
          <w:lang w:val="uk-UA" w:eastAsia="zh-CN"/>
        </w:rPr>
      </w:pPr>
      <w:r>
        <w:rPr>
          <w:rFonts w:cs="Times New Roman" w:ascii="Times New Roman" w:hAnsi="Times New Roman"/>
          <w:color w:val="auto"/>
          <w:sz w:val="28"/>
          <w:szCs w:val="28"/>
          <w:lang w:val="uk-UA" w:eastAsia="zh-CN"/>
        </w:rPr>
        <w:t xml:space="preserve">Виконавець аварійно-відновлювальних робіт зобов’язаний дотримуватися діючих Правил проведення земляних робіт на території Мукачівської міської об’єднаної територіальної громади, Правил благоустрою населених пунктів Мукачівської міської об’єднаної територіальної громади та </w:t>
      </w:r>
      <w:r>
        <w:rPr>
          <w:rFonts w:eastAsia="Lucida Sans Unicode" w:cs="Times New Roman" w:ascii="Times New Roman" w:hAnsi="Times New Roman"/>
          <w:color w:val="auto"/>
          <w:sz w:val="28"/>
          <w:szCs w:val="28"/>
          <w:lang w:val="uk-UA" w:eastAsia="zh-CN" w:bidi="hi-IN"/>
        </w:rPr>
        <w:t>вимог будівельних норм і правил</w:t>
      </w:r>
      <w:r>
        <w:rPr>
          <w:rFonts w:cs="Times New Roman" w:ascii="Times New Roman" w:hAnsi="Times New Roman"/>
          <w:b/>
          <w:bCs/>
          <w:color w:val="auto"/>
          <w:sz w:val="28"/>
          <w:szCs w:val="28"/>
          <w:lang w:val="uk-UA" w:eastAsia="zh-CN"/>
        </w:rPr>
        <w:t>.</w:t>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t>_____________</w:t>
        <w:tab/>
        <w:tab/>
        <w:tab/>
        <w:t>__________________</w:t>
        <w:tab/>
        <w:t>_______________________</w:t>
      </w:r>
    </w:p>
    <w:p>
      <w:pPr>
        <w:pStyle w:val="Normal"/>
        <w:widowControl/>
        <w:ind w:firstLine="709"/>
        <w:jc w:val="left"/>
        <w:rPr>
          <w:rFonts w:ascii="Times New Roman" w:hAnsi="Times New Roman" w:cs="Times New Roman"/>
          <w:color w:val="auto"/>
          <w:sz w:val="28"/>
          <w:szCs w:val="28"/>
          <w:vertAlign w:val="superscript"/>
          <w:lang w:val="uk-UA" w:eastAsia="zh-CN"/>
        </w:rPr>
      </w:pPr>
      <w:r>
        <w:rPr>
          <w:rFonts w:cs="Times New Roman" w:ascii="Times New Roman" w:hAnsi="Times New Roman"/>
          <w:color w:val="auto"/>
          <w:sz w:val="28"/>
          <w:szCs w:val="28"/>
          <w:vertAlign w:val="superscript"/>
          <w:lang w:val="uk-UA" w:eastAsia="zh-CN"/>
        </w:rPr>
        <w:t>(дата)</w:t>
        <w:tab/>
        <w:tab/>
        <w:tab/>
        <w:tab/>
        <w:tab/>
        <w:t xml:space="preserve">      (підпис)</w:t>
        <w:tab/>
        <w:tab/>
        <w:t xml:space="preserve">           (ПІБ керівника підприємства)</w:t>
      </w:r>
    </w:p>
    <w:p>
      <w:pPr>
        <w:pStyle w:val="Normal"/>
        <w:widowControl/>
        <w:jc w:val="left"/>
        <w:rPr>
          <w:rFonts w:ascii="Times New Roman" w:hAnsi="Times New Roman" w:cs="Times New Roman"/>
          <w:color w:val="auto"/>
          <w:lang w:val="uk-UA" w:eastAsia="zh-CN"/>
        </w:rPr>
      </w:pPr>
      <w:r>
        <w:rPr>
          <w:rFonts w:cs="Times New Roman" w:ascii="Times New Roman" w:hAnsi="Times New Roman"/>
          <w:color w:val="auto"/>
          <w:lang w:val="uk-UA" w:eastAsia="zh-CN"/>
        </w:rPr>
      </w:r>
    </w:p>
    <w:p>
      <w:pPr>
        <w:pStyle w:val="Normal"/>
        <w:widowControl/>
        <w:jc w:val="left"/>
        <w:rPr>
          <w:rFonts w:ascii="Times New Roman" w:hAnsi="Times New Roman" w:cs="Times New Roman"/>
          <w:color w:val="auto"/>
          <w:lang w:val="uk-UA" w:eastAsia="zh-CN"/>
        </w:rPr>
      </w:pPr>
      <w:r>
        <w:rPr>
          <w:rFonts w:cs="Times New Roman" w:ascii="Times New Roman" w:hAnsi="Times New Roman"/>
          <w:color w:val="auto"/>
          <w:lang w:val="uk-UA" w:eastAsia="zh-CN"/>
        </w:rPr>
        <w:t>М.П.</w:t>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p>
    <w:p>
      <w:pPr>
        <w:pStyle w:val="Normal"/>
        <w:widowControl/>
        <w:jc w:val="both"/>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r>
      <w:r>
        <w:br w:type="page"/>
      </w:r>
    </w:p>
    <w:p>
      <w:pPr>
        <w:pStyle w:val="Normal"/>
        <w:suppressAutoHyphens w:val="true"/>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t xml:space="preserve">Аналіз регуляторного впливу </w:t>
      </w:r>
    </w:p>
    <w:p>
      <w:pPr>
        <w:pStyle w:val="Normal"/>
        <w:suppressAutoHyphens w:val="true"/>
        <w:rPr>
          <w:color w:val="auto"/>
          <w:lang w:val="uk-UA"/>
        </w:rPr>
      </w:pPr>
      <w:r>
        <w:rPr>
          <w:rFonts w:cs="Times New Roman" w:ascii="Times New Roman" w:hAnsi="Times New Roman"/>
          <w:b/>
          <w:bCs/>
          <w:color w:val="auto"/>
          <w:sz w:val="28"/>
          <w:szCs w:val="28"/>
          <w:lang w:val="uk-UA" w:eastAsia="zh-CN"/>
        </w:rPr>
        <w:t xml:space="preserve">проєкту рішення виконавчого комітету Мукачівської міської ради </w:t>
      </w:r>
    </w:p>
    <w:p>
      <w:pPr>
        <w:pStyle w:val="Normal"/>
        <w:suppressAutoHyphens w:val="true"/>
        <w:rPr>
          <w:color w:val="auto"/>
        </w:rPr>
      </w:pP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auto"/>
          <w:sz w:val="28"/>
          <w:szCs w:val="28"/>
          <w:lang w:val="uk-UA" w:eastAsia="zh-CN"/>
        </w:rPr>
        <w:t>»</w:t>
      </w:r>
    </w:p>
    <w:p>
      <w:pPr>
        <w:pStyle w:val="Norma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suppressAutoHyphens w:val="true"/>
        <w:ind w:firstLine="709"/>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suppressAutoHyphens w:val="true"/>
        <w:jc w:val="both"/>
        <w:rPr>
          <w:color w:val="auto"/>
          <w:lang w:val="uk-UA"/>
        </w:rPr>
      </w:pPr>
      <w:r>
        <w:rPr>
          <w:rFonts w:cs="Times New Roman" w:ascii="Times New Roman" w:hAnsi="Times New Roman"/>
          <w:b/>
          <w:bCs/>
          <w:color w:val="auto"/>
          <w:sz w:val="28"/>
          <w:szCs w:val="28"/>
          <w:lang w:val="uk-UA" w:eastAsia="zh-CN"/>
        </w:rPr>
        <w:t>Назва регуляторного акта</w:t>
      </w:r>
      <w:r>
        <w:rPr>
          <w:rFonts w:cs="Times New Roman" w:ascii="Times New Roman" w:hAnsi="Times New Roman"/>
          <w:color w:val="auto"/>
          <w:sz w:val="28"/>
          <w:szCs w:val="28"/>
          <w:lang w:val="uk-UA" w:eastAsia="zh-CN"/>
        </w:rPr>
        <w:t>: проєкт рішення виконавчого комітету Мукачівської міської ради від _____ 2020 року №___ «Про затвердження правил проведення земляних робіт на території Мукачівської міської об’єднаної територіальної громади»;</w:t>
      </w:r>
    </w:p>
    <w:p>
      <w:pPr>
        <w:pStyle w:val="Normal"/>
        <w:suppressAutoHyphens w:val="true"/>
        <w:jc w:val="both"/>
        <w:rPr>
          <w:color w:val="auto"/>
        </w:rPr>
      </w:pPr>
      <w:r>
        <w:rPr>
          <w:rFonts w:cs="Times New Roman" w:ascii="Times New Roman" w:hAnsi="Times New Roman"/>
          <w:b/>
          <w:bCs/>
          <w:color w:val="auto"/>
          <w:sz w:val="28"/>
          <w:szCs w:val="28"/>
          <w:lang w:val="uk-UA" w:eastAsia="zh-CN"/>
        </w:rPr>
        <w:t>Регуляторний орган:</w:t>
      </w:r>
      <w:r>
        <w:rPr>
          <w:rFonts w:cs="Times New Roman" w:ascii="Times New Roman" w:hAnsi="Times New Roman"/>
          <w:color w:val="auto"/>
          <w:sz w:val="28"/>
          <w:szCs w:val="28"/>
          <w:lang w:val="uk-UA" w:eastAsia="zh-CN"/>
        </w:rPr>
        <w:t xml:space="preserve"> виконавчий комітет Мукачівської міської ради;</w:t>
      </w:r>
    </w:p>
    <w:p>
      <w:pPr>
        <w:pStyle w:val="Normal"/>
        <w:suppressAutoHyphens w:val="true"/>
        <w:jc w:val="both"/>
        <w:rPr>
          <w:color w:val="auto"/>
        </w:rPr>
      </w:pPr>
      <w:r>
        <w:rPr>
          <w:rFonts w:cs="Times New Roman" w:ascii="Times New Roman" w:hAnsi="Times New Roman"/>
          <w:b/>
          <w:bCs/>
          <w:color w:val="auto"/>
          <w:sz w:val="28"/>
          <w:szCs w:val="28"/>
          <w:lang w:val="uk-UA" w:eastAsia="zh-CN"/>
        </w:rPr>
        <w:t>Розробники документа:</w:t>
      </w:r>
      <w:r>
        <w:rPr>
          <w:rFonts w:cs="Times New Roman" w:ascii="Times New Roman" w:hAnsi="Times New Roman"/>
          <w:color w:val="auto"/>
          <w:sz w:val="28"/>
          <w:szCs w:val="28"/>
          <w:lang w:val="uk-UA" w:eastAsia="zh-CN"/>
        </w:rPr>
        <w:t xml:space="preserve"> Управління міського господарства Мукачівської міської ради; </w:t>
      </w:r>
    </w:p>
    <w:p>
      <w:pPr>
        <w:pStyle w:val="Normal"/>
        <w:suppressAutoHyphens w:val="true"/>
        <w:jc w:val="both"/>
        <w:rPr>
          <w:color w:val="auto"/>
        </w:rPr>
      </w:pPr>
      <w:r>
        <w:rPr>
          <w:rFonts w:cs="Times New Roman" w:ascii="Times New Roman" w:hAnsi="Times New Roman"/>
          <w:b/>
          <w:bCs/>
          <w:color w:val="auto"/>
          <w:sz w:val="28"/>
          <w:szCs w:val="28"/>
          <w:lang w:val="uk-UA" w:eastAsia="zh-CN"/>
        </w:rPr>
        <w:t>Відповідальна особа:</w:t>
      </w:r>
      <w:r>
        <w:rPr>
          <w:rFonts w:cs="Times New Roman" w:ascii="Times New Roman" w:hAnsi="Times New Roman"/>
          <w:color w:val="auto"/>
          <w:sz w:val="28"/>
          <w:szCs w:val="28"/>
          <w:lang w:val="uk-UA" w:eastAsia="zh-CN"/>
        </w:rPr>
        <w:t xml:space="preserve"> Гасинець Вячеслав Омелянович</w:t>
      </w:r>
    </w:p>
    <w:p>
      <w:pPr>
        <w:pStyle w:val="Normal"/>
        <w:suppressAutoHyphens w:val="true"/>
        <w:jc w:val="both"/>
        <w:rPr>
          <w:color w:val="auto"/>
        </w:rPr>
      </w:pPr>
      <w:r>
        <w:rPr>
          <w:rFonts w:cs="Times New Roman" w:ascii="Times New Roman" w:hAnsi="Times New Roman"/>
          <w:b/>
          <w:bCs/>
          <w:color w:val="auto"/>
          <w:sz w:val="28"/>
          <w:szCs w:val="28"/>
          <w:lang w:val="uk-UA" w:eastAsia="zh-CN"/>
        </w:rPr>
        <w:t>Контактний телефон:</w:t>
      </w:r>
      <w:r>
        <w:rPr>
          <w:rFonts w:cs="Times New Roman" w:ascii="Times New Roman" w:hAnsi="Times New Roman"/>
          <w:color w:val="auto"/>
          <w:sz w:val="28"/>
          <w:szCs w:val="28"/>
          <w:lang w:val="uk-UA" w:eastAsia="zh-CN"/>
        </w:rPr>
        <w:t xml:space="preserve"> 2-30-48</w:t>
      </w:r>
    </w:p>
    <w:p>
      <w:pPr>
        <w:pStyle w:val="Normal"/>
        <w:suppressAutoHyphens w:val="true"/>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ListParagraph"/>
        <w:ind w:left="0" w:hanging="0"/>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І. Визначення проблеми</w:t>
      </w:r>
    </w:p>
    <w:p>
      <w:pPr>
        <w:pStyle w:val="ListParagraph"/>
        <w:ind w:left="0" w:hanging="0"/>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jc w:val="both"/>
        <w:rPr>
          <w:color w:val="auto"/>
        </w:rPr>
      </w:pPr>
      <w:r>
        <w:rPr>
          <w:rFonts w:cs="Times New Roman" w:ascii="Times New Roman" w:hAnsi="Times New Roman"/>
          <w:color w:val="auto"/>
          <w:sz w:val="28"/>
          <w:szCs w:val="28"/>
          <w:lang w:val="uk-UA"/>
        </w:rPr>
        <w:t xml:space="preserve">Проєкт рішення Мукачівської міської ради </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rPr>
        <w:t xml:space="preserve"> (надалі Правила) підготовлений на підставі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розробленого Міністерством регіонального розвитку, будівництва та житлово-комунального господарства України відповідно до частини третьої статті 261 Закону України від 06 вересня 2005р.                       № 2807-IV «Про благоустрій населених пунктів», яка визначає, що порядок видачі дозволів або відмови в їх видачі, переоформлення, видачі дублікатів, анулювання дозволів затверджується рішенням відповідної сільської, селищної, міської ради на підставі Типового порядку, затвердженого Кабінетом Міністрів України. Пунктом 1 частини першої статті 16 Закону України «Про благоустрій населених пунктів» визначено, що на об’єктах благоустрою забороняється виконувати роботи без дозволу, якщо обов’язковість його отримання передбачена законом. Правилами встановлюється процедура видачі дозволів виконавчим комітетом Мукачівської міської ради. Правила розроблені з урахуванням вимог Законів України «Про дозвільну систему у сфері господарської діяльності», «Про основи містобудування» та «Про благоустрій населених пунктів». До Правил додається форма дозволу на порушення об’єктів благоустрою та Заява про видачу дозволу на порушення об’єкту благоустрою. Проблема, що спонукає для прийняття рішення Мукачіською міською радою </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auto"/>
          <w:sz w:val="28"/>
          <w:szCs w:val="28"/>
          <w:lang w:val="uk-UA" w:eastAsia="zh-CN"/>
        </w:rPr>
        <w:t xml:space="preserve">» </w:t>
      </w:r>
      <w:r>
        <w:rPr>
          <w:rFonts w:cs="Times New Roman" w:ascii="Times New Roman" w:hAnsi="Times New Roman"/>
          <w:color w:val="auto"/>
          <w:sz w:val="28"/>
          <w:szCs w:val="28"/>
          <w:lang w:val="uk-UA"/>
        </w:rPr>
        <w:t>полягає в тому, що у зв’язку із недосконалістю чинного законодавства, а саме з розбіжністю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та Закону України «Про благоустрій населених пунктів» від 06 вересня 2005р. № 2807-IV для врегулювання відносин, що виникають у сфері благоустрою між суб’єктами господарювання, фізичними особами та органами місцевого самоврядування.</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Представлений регуляторний акт має нововведення, які необхідні для запобігання виникненню фактів правопорушення у сфері благоустрою міста.</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Звертаємо увагу на те, що дія постанови Кабінету Міністрів України від 30 жовтня 2013 р. № 870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 поширюється на юридичних та фізичних осіб-підприємців, що здійснюють порушення об’єктів благоустрою, пов’язане з проведенням земляних та/або ремонтних робіт.</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З метою уникнення пошкоджень інженерних мереж та запобігання в подальшому конфліктних ситуацій до регуляторного акту в перелік документів на отримання дозволу на порушення об’єктів благоустрою включено надання ситуаційного плану проведення аварійних, земляних та/або ремонтних робіт. </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Для забезпечення сприятливого для життєдіяльності людини довкілля в регуляторному акті обов’язковою умовою для отримання дозволу на порушення об’єкта благоустрою визначено відновлення об’єкту благоустрою.</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Це зумовлено тим, що після проведення земляних робіт, в разі неякісного відновлення об’єкту благоустрою, в органів місцевого самоврядування відсутні важелі впливу на суб’єкта господарювання, який проводив роботи.</w:t>
      </w:r>
    </w:p>
    <w:p>
      <w:pPr>
        <w:pStyle w:val="Normal"/>
        <w:jc w:val="both"/>
        <w:rPr>
          <w:color w:val="auto"/>
          <w:lang w:val="uk-UA"/>
        </w:rPr>
      </w:pPr>
      <w:r>
        <w:rPr>
          <w:rFonts w:cs="Times New Roman" w:ascii="Times New Roman" w:hAnsi="Times New Roman"/>
          <w:color w:val="auto"/>
          <w:sz w:val="28"/>
          <w:szCs w:val="28"/>
          <w:lang w:val="uk-UA"/>
        </w:rPr>
        <w:t xml:space="preserve">Ураховуючи викладене, обставини, які склались потребують негайних змін шляхом прийняття проєкту рішення Мукачівської міської ради </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auto"/>
          <w:sz w:val="28"/>
          <w:szCs w:val="28"/>
          <w:lang w:val="uk-UA" w:eastAsia="zh-CN"/>
        </w:rPr>
        <w:t>»</w:t>
      </w:r>
    </w:p>
    <w:p>
      <w:pPr>
        <w:pStyle w:val="Normal"/>
        <w:widowContro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Основні групи, на які проблема справляє вплив:</w:t>
      </w:r>
    </w:p>
    <w:tbl>
      <w:tblPr>
        <w:tblW w:w="9585" w:type="dxa"/>
        <w:jc w:val="left"/>
        <w:tblInd w:w="39" w:type="dxa"/>
        <w:tblCellMar>
          <w:top w:w="0" w:type="dxa"/>
          <w:left w:w="5" w:type="dxa"/>
          <w:bottom w:w="0" w:type="dxa"/>
          <w:right w:w="0" w:type="dxa"/>
        </w:tblCellMar>
        <w:tblLook w:firstRow="1" w:noVBand="1" w:lastRow="0" w:firstColumn="1" w:lastColumn="0" w:noHBand="0" w:val="04a0"/>
      </w:tblPr>
      <w:tblGrid>
        <w:gridCol w:w="4110"/>
        <w:gridCol w:w="2729"/>
        <w:gridCol w:w="2746"/>
      </w:tblGrid>
      <w:tr>
        <w:trPr>
          <w:trHeight w:val="675" w:hRule="atLeast"/>
        </w:trPr>
        <w:tc>
          <w:tcPr>
            <w:tcW w:w="4110"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t>Групи</w:t>
            </w:r>
          </w:p>
        </w:tc>
        <w:tc>
          <w:tcPr>
            <w:tcW w:w="2729"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t>Так</w:t>
            </w:r>
          </w:p>
        </w:tc>
        <w:tc>
          <w:tcPr>
            <w:tcW w:w="2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true"/>
              <w:jc w:val="left"/>
              <w:rPr>
                <w:rFonts w:ascii="Times New Roman" w:hAnsi="Times New Roman" w:cs="Times New Roman"/>
                <w:b/>
                <w:b/>
                <w:bCs/>
                <w:color w:val="auto"/>
                <w:sz w:val="28"/>
                <w:szCs w:val="28"/>
                <w:lang w:val="uk-UA" w:eastAsia="zh-CN"/>
              </w:rPr>
            </w:pPr>
            <w:r>
              <w:rPr>
                <w:rFonts w:cs="Times New Roman" w:ascii="Times New Roman" w:hAnsi="Times New Roman"/>
                <w:b/>
                <w:bCs/>
                <w:color w:val="auto"/>
                <w:sz w:val="28"/>
                <w:szCs w:val="28"/>
                <w:lang w:val="uk-UA" w:eastAsia="zh-CN"/>
              </w:rPr>
              <w:t>Ні</w:t>
            </w:r>
          </w:p>
        </w:tc>
      </w:tr>
      <w:tr>
        <w:trPr>
          <w:trHeight w:val="628" w:hRule="atLeast"/>
        </w:trPr>
        <w:tc>
          <w:tcPr>
            <w:tcW w:w="4110"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Громадяни</w:t>
            </w:r>
          </w:p>
        </w:tc>
        <w:tc>
          <w:tcPr>
            <w:tcW w:w="2729"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snapToGrid w:val="fals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Так</w:t>
            </w:r>
          </w:p>
        </w:tc>
        <w:tc>
          <w:tcPr>
            <w:tcW w:w="2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true"/>
              <w:snapToGrid w:val="fals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tc>
      </w:tr>
      <w:tr>
        <w:trPr>
          <w:trHeight w:val="641" w:hRule="atLeast"/>
        </w:trPr>
        <w:tc>
          <w:tcPr>
            <w:tcW w:w="4110"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Держава</w:t>
            </w:r>
          </w:p>
        </w:tc>
        <w:tc>
          <w:tcPr>
            <w:tcW w:w="2729"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Так</w:t>
            </w:r>
          </w:p>
        </w:tc>
        <w:tc>
          <w:tcPr>
            <w:tcW w:w="2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true"/>
              <w:snapToGrid w:val="fals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tc>
      </w:tr>
      <w:tr>
        <w:trPr>
          <w:trHeight w:val="594" w:hRule="atLeast"/>
        </w:trPr>
        <w:tc>
          <w:tcPr>
            <w:tcW w:w="4110"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Суб’єкти господарювання</w:t>
            </w:r>
          </w:p>
        </w:tc>
        <w:tc>
          <w:tcPr>
            <w:tcW w:w="2729"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Так</w:t>
            </w:r>
          </w:p>
        </w:tc>
        <w:tc>
          <w:tcPr>
            <w:tcW w:w="2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true"/>
              <w:snapToGrid w:val="fals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tc>
      </w:tr>
      <w:tr>
        <w:trPr/>
        <w:tc>
          <w:tcPr>
            <w:tcW w:w="4110"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у тому числі суб’єкти малого підприємництва</w:t>
            </w:r>
          </w:p>
        </w:tc>
        <w:tc>
          <w:tcPr>
            <w:tcW w:w="2729" w:type="dxa"/>
            <w:tcBorders>
              <w:top w:val="single" w:sz="4" w:space="0" w:color="000001"/>
              <w:left w:val="single" w:sz="4" w:space="0" w:color="000001"/>
              <w:bottom w:val="single" w:sz="4" w:space="0" w:color="000001"/>
            </w:tcBorders>
            <w:shd w:color="auto" w:fill="auto" w:val="clear"/>
            <w:vAlign w:val="cente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Так</w:t>
            </w:r>
          </w:p>
        </w:tc>
        <w:tc>
          <w:tcPr>
            <w:tcW w:w="274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suppressAutoHyphens w:val="true"/>
              <w:snapToGrid w:val="fals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tc>
      </w:tr>
    </w:tbl>
    <w:p>
      <w:pPr>
        <w:pStyle w:val="Normal"/>
        <w:suppressAutoHyphens w:val="true"/>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suppressAutoHyphens w:val="true"/>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Враховуючи наведене, можливо виокремити такі проблеми:</w:t>
      </w:r>
    </w:p>
    <w:p>
      <w:pPr>
        <w:pStyle w:val="Normal"/>
        <w:jc w:val="both"/>
        <w:rPr>
          <w:color w:val="auto"/>
          <w:lang w:val="uk-UA"/>
        </w:rPr>
      </w:pPr>
      <w:r>
        <w:rPr>
          <w:rFonts w:cs="Times New Roman" w:ascii="Times New Roman" w:hAnsi="Times New Roman"/>
          <w:color w:val="auto"/>
          <w:sz w:val="28"/>
          <w:szCs w:val="28"/>
          <w:lang w:val="uk-UA"/>
        </w:rPr>
        <w:t xml:space="preserve">- не ефективна реалізація плану розвитку території </w:t>
      </w:r>
      <w:r>
        <w:rPr>
          <w:rFonts w:cs="Times New Roman" w:ascii="Times New Roman" w:hAnsi="Times New Roman"/>
          <w:bCs/>
          <w:color w:val="auto"/>
          <w:sz w:val="28"/>
          <w:szCs w:val="28"/>
          <w:lang w:val="uk-UA" w:eastAsia="zh-CN"/>
        </w:rPr>
        <w:t>Мукачівської міської об’єднаної територіальної громади</w:t>
      </w:r>
      <w:r>
        <w:rPr>
          <w:rFonts w:cs="Times New Roman" w:ascii="Times New Roman" w:hAnsi="Times New Roman"/>
          <w:color w:val="auto"/>
          <w:sz w:val="28"/>
          <w:szCs w:val="28"/>
          <w:lang w:val="uk-UA"/>
        </w:rPr>
        <w:t>;</w:t>
      </w:r>
    </w:p>
    <w:p>
      <w:pPr>
        <w:pStyle w:val="Normal"/>
        <w:jc w:val="both"/>
        <w:rPr>
          <w:color w:val="auto"/>
          <w:lang w:val="uk-UA"/>
        </w:rPr>
      </w:pPr>
      <w:r>
        <w:rPr>
          <w:rFonts w:cs="Times New Roman" w:ascii="Times New Roman" w:hAnsi="Times New Roman"/>
          <w:color w:val="auto"/>
          <w:sz w:val="28"/>
          <w:szCs w:val="28"/>
          <w:lang w:val="uk-UA"/>
        </w:rPr>
        <w:t xml:space="preserve">- не ефективне здійснення заходів з утримання благоустрою території  та  використання  майна територіальної громади </w:t>
      </w:r>
      <w:r>
        <w:rPr>
          <w:rFonts w:cs="Times New Roman" w:ascii="Times New Roman" w:hAnsi="Times New Roman"/>
          <w:bCs/>
          <w:color w:val="auto"/>
          <w:sz w:val="28"/>
          <w:szCs w:val="28"/>
          <w:lang w:val="uk-UA" w:eastAsia="zh-CN"/>
        </w:rPr>
        <w:t>Мукачівської міської об’єднаної територіальної громади.</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b/>
          <w:b/>
          <w:bCs/>
          <w:color w:val="auto"/>
          <w:sz w:val="28"/>
          <w:szCs w:val="28"/>
          <w:u w:val="single"/>
          <w:lang w:val="uk-UA"/>
        </w:rPr>
      </w:pPr>
      <w:r>
        <w:rPr>
          <w:rFonts w:cs="Times New Roman" w:ascii="Times New Roman" w:hAnsi="Times New Roman"/>
          <w:b/>
          <w:bCs/>
          <w:color w:val="auto"/>
          <w:sz w:val="28"/>
          <w:szCs w:val="28"/>
          <w:u w:val="single"/>
          <w:lang w:val="uk-UA"/>
        </w:rPr>
      </w:r>
    </w:p>
    <w:p>
      <w:pPr>
        <w:pStyle w:val="Normal"/>
        <w:rPr>
          <w:rFonts w:ascii="Times New Roman" w:hAnsi="Times New Roman" w:cs="Times New Roman"/>
          <w:b/>
          <w:b/>
          <w:bCs/>
          <w:color w:val="auto"/>
          <w:sz w:val="28"/>
          <w:szCs w:val="28"/>
          <w:u w:val="single"/>
          <w:lang w:val="uk-UA"/>
        </w:rPr>
      </w:pPr>
      <w:r>
        <w:rPr>
          <w:rFonts w:cs="Times New Roman" w:ascii="Times New Roman" w:hAnsi="Times New Roman"/>
          <w:b/>
          <w:bCs/>
          <w:color w:val="auto"/>
          <w:sz w:val="28"/>
          <w:szCs w:val="28"/>
          <w:u w:val="single"/>
          <w:lang w:val="uk-UA"/>
        </w:rPr>
      </w:r>
    </w:p>
    <w:p>
      <w:pPr>
        <w:pStyle w:val="Normal"/>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II. Цілі державного регулювання</w:t>
      </w:r>
    </w:p>
    <w:p>
      <w:pPr>
        <w:pStyle w:val="Norma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p>
      <w:pPr>
        <w:pStyle w:val="Normal"/>
        <w:ind w:firstLine="709"/>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 xml:space="preserve">Цілі державного регулювання, безпосередньо пов'язані з розв'язанням проблеми: </w:t>
      </w:r>
    </w:p>
    <w:p>
      <w:pPr>
        <w:pStyle w:val="Normal"/>
        <w:ind w:firstLine="709"/>
        <w:jc w:val="both"/>
        <w:rPr>
          <w:color w:val="auto"/>
        </w:rPr>
      </w:pPr>
      <w:r>
        <w:rPr>
          <w:rFonts w:cs="Times New Roman" w:ascii="Times New Roman" w:hAnsi="Times New Roman"/>
          <w:color w:val="auto"/>
          <w:sz w:val="28"/>
          <w:szCs w:val="28"/>
          <w:lang w:val="uk-UA"/>
        </w:rPr>
        <w:t>Метою проєкту рішення є визначення механізму врегулювання питання проведення земляних та/або ремонтних, аварійних робіт на об’єктах благоустрою, отримання документів дозвільного характеру у відповідності до вимог чинного законодавства.</w:t>
      </w:r>
    </w:p>
    <w:p>
      <w:pPr>
        <w:pStyle w:val="Normal"/>
        <w:ind w:firstLine="709"/>
        <w:jc w:val="both"/>
        <w:rPr>
          <w:color w:val="auto"/>
        </w:rPr>
      </w:pPr>
      <w:r>
        <w:rPr>
          <w:rFonts w:cs="Times New Roman" w:ascii="Times New Roman" w:hAnsi="Times New Roman"/>
          <w:color w:val="auto"/>
          <w:sz w:val="28"/>
          <w:szCs w:val="28"/>
          <w:lang w:val="uk-UA"/>
        </w:rPr>
        <w:t xml:space="preserve">Запровадження єдиних підходів щодо видачі дозволів на порушення об’єктів благоустрою на території </w:t>
      </w:r>
      <w:r>
        <w:rPr>
          <w:rFonts w:cs="Times New Roman" w:ascii="Times New Roman" w:hAnsi="Times New Roman"/>
          <w:color w:val="auto"/>
          <w:sz w:val="28"/>
          <w:szCs w:val="28"/>
          <w:lang w:val="uk-UA" w:eastAsia="zh-CN"/>
        </w:rPr>
        <w:t>Мукачівської міської об’єднаної територіальної громади</w:t>
      </w:r>
      <w:r>
        <w:rPr>
          <w:rFonts w:cs="Times New Roman" w:ascii="Times New Roman" w:hAnsi="Times New Roman"/>
          <w:color w:val="auto"/>
          <w:sz w:val="28"/>
          <w:szCs w:val="28"/>
          <w:lang w:val="uk-UA"/>
        </w:rPr>
        <w:t xml:space="preserve"> до повного, справедливого, об’єктивного взаєморозуміння між органами місцевого самоврядування, суб’єктами господарювання, фізичними особами, які мають намір проводити земляні роботи.</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 свою чергу, виконавчий комітет Мукачівської міської ради матиме змогу оперативно реагувати та здійснювати контроль за об’єктами благоустрою, де ведуться земляні, ремонтні та аварійні роботи.</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Громадяни та мешканці міста, при виявленні порушень під час проведення вказаних робіт зможуть отримати інформацію, який вид робіт проводяться, ким та з якою метою, а також до якого часу. </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Прийняття цього акта дозволить підвищити ефективність заходів з проведення земляних робіт на об’єктах благоустрою, попереджувати правопорушення у сфері благоустрою та зменшити кількість правопорушень у цій сфері.</w:t>
      </w:r>
    </w:p>
    <w:p>
      <w:pPr>
        <w:pStyle w:val="Normal"/>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ІІІ. Визначення та оцінка способів досягнення визначених цілей</w:t>
      </w:r>
    </w:p>
    <w:p>
      <w:pPr>
        <w:pStyle w:val="Norma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1. Визначення альтернативних способів:</w:t>
      </w:r>
    </w:p>
    <w:p>
      <w:pPr>
        <w:pStyle w:val="Norma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r>
    </w:p>
    <w:tbl>
      <w:tblPr>
        <w:tblW w:w="9570" w:type="dxa"/>
        <w:jc w:val="left"/>
        <w:tblInd w:w="54" w:type="dxa"/>
        <w:tblCellMar>
          <w:top w:w="0" w:type="dxa"/>
          <w:left w:w="78" w:type="dxa"/>
          <w:bottom w:w="0" w:type="dxa"/>
          <w:right w:w="108" w:type="dxa"/>
        </w:tblCellMar>
        <w:tblLook w:firstRow="1" w:noVBand="1" w:lastRow="0" w:firstColumn="1" w:lastColumn="0" w:noHBand="0" w:val="04a0"/>
      </w:tblPr>
      <w:tblGrid>
        <w:gridCol w:w="4515"/>
        <w:gridCol w:w="5054"/>
      </w:tblGrid>
      <w:tr>
        <w:trPr/>
        <w:tc>
          <w:tcPr>
            <w:tcW w:w="4515"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left"/>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 xml:space="preserve">Вид альтернативи </w:t>
            </w:r>
          </w:p>
        </w:tc>
        <w:tc>
          <w:tcPr>
            <w:tcW w:w="505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left"/>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Опис альтернативи</w:t>
            </w:r>
          </w:p>
        </w:tc>
      </w:tr>
      <w:tr>
        <w:trPr/>
        <w:tc>
          <w:tcPr>
            <w:tcW w:w="4515"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left"/>
              <w:rPr>
                <w:color w:val="auto"/>
              </w:rPr>
            </w:pPr>
            <w:r>
              <w:rPr>
                <w:rFonts w:cs="Times New Roman" w:ascii="Times New Roman" w:hAnsi="Times New Roman"/>
                <w:bCs/>
                <w:color w:val="auto"/>
                <w:sz w:val="28"/>
                <w:szCs w:val="28"/>
                <w:lang w:val="uk-UA" w:eastAsia="zh-CN"/>
              </w:rPr>
              <w:t>Альтернатива 1: Залишення існуючої на даний момент ситуації без змін</w:t>
            </w:r>
          </w:p>
        </w:tc>
        <w:tc>
          <w:tcPr>
            <w:tcW w:w="505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left"/>
              <w:rPr>
                <w:color w:val="auto"/>
              </w:rPr>
            </w:pP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lang w:val="uk-UA"/>
              </w:rPr>
              <w:t>- Неврегульованість питання оформлення документів дозвільного характеру.</w:t>
            </w:r>
          </w:p>
          <w:p>
            <w:pPr>
              <w:pStyle w:val="Normal"/>
              <w:widowControl/>
              <w:suppressAutoHyphens w:val="true"/>
              <w:jc w:val="left"/>
              <w:rPr>
                <w:color w:val="auto"/>
              </w:rPr>
            </w:pPr>
            <w:r>
              <w:rPr>
                <w:color w:val="auto"/>
              </w:rPr>
            </w:r>
          </w:p>
          <w:p>
            <w:pPr>
              <w:pStyle w:val="Normal"/>
              <w:widowControl/>
              <w:suppressAutoHyphens w:val="true"/>
              <w:jc w:val="lef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Спосіб є неприйнятним, оскільки залишаються невирішеними питання видачі дозволу на порушення об’єктів благоустрою.</w:t>
            </w:r>
          </w:p>
        </w:tc>
      </w:tr>
      <w:tr>
        <w:trPr/>
        <w:tc>
          <w:tcPr>
            <w:tcW w:w="4515"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left"/>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t>Альтернатива 2:</w:t>
            </w:r>
          </w:p>
          <w:p>
            <w:pPr>
              <w:pStyle w:val="Normal"/>
              <w:widowControl/>
              <w:suppressAutoHyphens w:val="true"/>
              <w:jc w:val="left"/>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t>Прийняття даного регуляторного акта</w:t>
            </w:r>
          </w:p>
        </w:tc>
        <w:tc>
          <w:tcPr>
            <w:tcW w:w="505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left"/>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t>- Забезпечує вирішення проблемних питань в повному обсязі.</w:t>
            </w:r>
          </w:p>
          <w:p>
            <w:pPr>
              <w:pStyle w:val="Normal"/>
              <w:widowControl/>
              <w:suppressAutoHyphens w:val="true"/>
              <w:jc w:val="left"/>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r>
          </w:p>
          <w:p>
            <w:pPr>
              <w:pStyle w:val="Normal"/>
              <w:widowControl/>
              <w:suppressAutoHyphens w:val="true"/>
              <w:jc w:val="left"/>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t>Спосіб є прийнятним, оскільки удосконалить процедуру видачі дозволів на порушення об’єктів благоустрою, забезпечить підвищення якості і ефективності заходів з утримання об’єктів благоустрою, поліпшить загальний стан об’єктів благоустрою</w:t>
            </w:r>
          </w:p>
        </w:tc>
      </w:tr>
    </w:tbl>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ab/>
      </w:r>
    </w:p>
    <w:p>
      <w:pPr>
        <w:pStyle w:val="Normal"/>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2. Оцінка вибраних альтернативних способів досягнення цілей</w:t>
      </w:r>
    </w:p>
    <w:p>
      <w:pPr>
        <w:pStyle w:val="Normal"/>
        <w:jc w:val="both"/>
        <w:rPr>
          <w:color w:val="auto"/>
        </w:rPr>
      </w:pPr>
      <w:r>
        <w:rPr>
          <w:rFonts w:cs="Times New Roman" w:ascii="Times New Roman" w:hAnsi="Times New Roman"/>
          <w:i/>
          <w:color w:val="auto"/>
          <w:sz w:val="28"/>
          <w:szCs w:val="28"/>
          <w:lang w:val="uk-UA"/>
        </w:rPr>
        <w:t xml:space="preserve"> </w:t>
      </w:r>
      <w:r>
        <w:rPr>
          <w:rFonts w:cs="Times New Roman" w:ascii="Times New Roman" w:hAnsi="Times New Roman"/>
          <w:color w:val="auto"/>
          <w:sz w:val="28"/>
          <w:szCs w:val="28"/>
          <w:lang w:val="uk-UA"/>
        </w:rPr>
        <w:t xml:space="preserve">Оцінка впливу на сферу інтересів органів місцевого самоврядування </w:t>
      </w:r>
    </w:p>
    <w:tbl>
      <w:tblPr>
        <w:tblW w:w="9645" w:type="dxa"/>
        <w:jc w:val="left"/>
        <w:tblInd w:w="-21" w:type="dxa"/>
        <w:tblCellMar>
          <w:top w:w="0" w:type="dxa"/>
          <w:left w:w="78" w:type="dxa"/>
          <w:bottom w:w="0" w:type="dxa"/>
          <w:right w:w="108" w:type="dxa"/>
        </w:tblCellMar>
        <w:tblLook w:firstRow="1" w:noVBand="1" w:lastRow="0" w:firstColumn="1" w:lastColumn="0" w:noHBand="0" w:val="04a0"/>
      </w:tblPr>
      <w:tblGrid>
        <w:gridCol w:w="2173"/>
        <w:gridCol w:w="3272"/>
        <w:gridCol w:w="4200"/>
      </w:tblGrid>
      <w:tr>
        <w:trPr/>
        <w:tc>
          <w:tcPr>
            <w:tcW w:w="2173"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Вид альтернативи</w:t>
            </w:r>
          </w:p>
        </w:tc>
        <w:tc>
          <w:tcPr>
            <w:tcW w:w="3272"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Вигоди</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Витрати</w:t>
            </w:r>
          </w:p>
        </w:tc>
      </w:tr>
      <w:tr>
        <w:trPr/>
        <w:tc>
          <w:tcPr>
            <w:tcW w:w="2173"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1:</w:t>
            </w:r>
          </w:p>
          <w:p>
            <w:pPr>
              <w:pStyle w:val="Normal"/>
              <w:jc w:val="both"/>
              <w:rPr>
                <w:color w:val="auto"/>
              </w:rPr>
            </w:pPr>
            <w:r>
              <w:rPr>
                <w:rFonts w:cs="Times New Roman" w:ascii="Times New Roman" w:hAnsi="Times New Roman"/>
                <w:color w:val="auto"/>
                <w:sz w:val="28"/>
                <w:szCs w:val="28"/>
                <w:lang w:val="uk-UA"/>
              </w:rPr>
              <w:t>Не прийняття проєкту акта</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Спосіб оцінюється як такий, що потребує вдосконалення</w:t>
            </w:r>
          </w:p>
        </w:tc>
        <w:tc>
          <w:tcPr>
            <w:tcW w:w="3272" w:type="dxa"/>
            <w:tcBorders>
              <w:top w:val="single" w:sz="4" w:space="0" w:color="000001"/>
              <w:left w:val="single" w:sz="4" w:space="0" w:color="000001"/>
              <w:bottom w:val="single" w:sz="4" w:space="0" w:color="000001"/>
            </w:tcBorders>
            <w:shd w:color="auto" w:fill="auto" w:val="clear"/>
          </w:tcPr>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Відсутня</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Відсутні</w:t>
            </w:r>
          </w:p>
        </w:tc>
      </w:tr>
      <w:tr>
        <w:trPr/>
        <w:tc>
          <w:tcPr>
            <w:tcW w:w="2173"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2:</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Прийняття акта</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Забезпечує досягнення цілей</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3272" w:type="dxa"/>
            <w:tcBorders>
              <w:top w:val="single" w:sz="4" w:space="0" w:color="000001"/>
              <w:left w:val="single" w:sz="4" w:space="0" w:color="000001"/>
              <w:bottom w:val="single" w:sz="4" w:space="0" w:color="000001"/>
            </w:tcBorders>
            <w:shd w:color="auto" w:fill="auto" w:val="clear"/>
          </w:tcPr>
          <w:p>
            <w:pPr>
              <w:pStyle w:val="Normal"/>
              <w:jc w:val="lef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забезпечення підвищення якості і ефективності заходів з утримання об’єктів благоустрою, поліпшення загального стану об’єктів благоустрою Мукачівської міської об’єднаної територіальної громади, ясність та прозорість в термінах та меті виконання робіт (земляних, ремонтних, аварійних)</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left"/>
              <w:rPr>
                <w:color w:val="auto"/>
                <w:lang w:val="uk-UA"/>
              </w:rPr>
            </w:pPr>
            <w:r>
              <w:rPr>
                <w:rFonts w:cs="Times New Roman" w:ascii="Times New Roman" w:hAnsi="Times New Roman"/>
                <w:color w:val="auto"/>
                <w:sz w:val="28"/>
                <w:szCs w:val="28"/>
                <w:lang w:val="uk-UA"/>
              </w:rPr>
              <w:t>процедура розробки регуляторного акта (витрати робочого часу спеціалістів пов’язані з підготовкою регуляторного акта та оприлюднення на офіційному сайті Мукачівської міської ради), опрацювання заяв на видачу дозволу на порушення об’єктів благоустрою, оформлення та видача дозволу на порушення об’єктів благоустрою. - 40грн/0.5год</w:t>
            </w:r>
          </w:p>
        </w:tc>
      </w:tr>
    </w:tbl>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Оцінка впливу на сферу інтересів громадян</w:t>
      </w:r>
    </w:p>
    <w:tbl>
      <w:tblPr>
        <w:tblW w:w="9735" w:type="dxa"/>
        <w:jc w:val="left"/>
        <w:tblInd w:w="39" w:type="dxa"/>
        <w:tblCellMar>
          <w:top w:w="0" w:type="dxa"/>
          <w:left w:w="78" w:type="dxa"/>
          <w:bottom w:w="0" w:type="dxa"/>
          <w:right w:w="108" w:type="dxa"/>
        </w:tblCellMar>
        <w:tblLook w:firstRow="1" w:noVBand="1" w:lastRow="0" w:firstColumn="1" w:lastColumn="0" w:noHBand="0" w:val="04a0"/>
      </w:tblPr>
      <w:tblGrid>
        <w:gridCol w:w="2115"/>
        <w:gridCol w:w="3270"/>
        <w:gridCol w:w="4350"/>
      </w:tblGrid>
      <w:tr>
        <w:trPr/>
        <w:tc>
          <w:tcPr>
            <w:tcW w:w="211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Вид альтернативи</w:t>
            </w:r>
          </w:p>
        </w:tc>
        <w:tc>
          <w:tcPr>
            <w:tcW w:w="3270"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Вигоди</w:t>
            </w:r>
          </w:p>
        </w:tc>
        <w:tc>
          <w:tcPr>
            <w:tcW w:w="435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Витрати</w:t>
            </w:r>
          </w:p>
        </w:tc>
      </w:tr>
      <w:tr>
        <w:trPr>
          <w:trHeight w:val="711" w:hRule="atLeast"/>
        </w:trPr>
        <w:tc>
          <w:tcPr>
            <w:tcW w:w="211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1:</w:t>
            </w:r>
          </w:p>
        </w:tc>
        <w:tc>
          <w:tcPr>
            <w:tcW w:w="3270"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Відсутні</w:t>
            </w:r>
          </w:p>
        </w:tc>
        <w:tc>
          <w:tcPr>
            <w:tcW w:w="435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Відсутні</w:t>
            </w:r>
          </w:p>
        </w:tc>
      </w:tr>
      <w:tr>
        <w:trPr>
          <w:trHeight w:val="984" w:hRule="atLeast"/>
        </w:trPr>
        <w:tc>
          <w:tcPr>
            <w:tcW w:w="211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2:</w:t>
            </w:r>
          </w:p>
        </w:tc>
        <w:tc>
          <w:tcPr>
            <w:tcW w:w="3270"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уникнення нещасних випадків під час проведення аварійних робіт, в тому числі випадків з летальним наслідком, ясність та прозорість в термінах та меті виконання робіт (земляних, ремонтних, аварійних), створення умов сприятливих для життєдіяльності людини, забезпечення відновлення покриття доріг та тротуарів</w:t>
            </w:r>
          </w:p>
        </w:tc>
        <w:tc>
          <w:tcPr>
            <w:tcW w:w="435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У разі порушень вимог Порядку та Правил благоустрою можливе притягнення до адміністративної відповідальності за ст.152 Кодексу України про адміністративні правопорушення виникає необхідність у сплаті штрафних санкцій у розмірі від 850 до 1700 грн. У разі нанесення заподіяної шкоди об’єктам благоустрою можлива відшкодування збитків у розмірах  визначеною відповідною комісією.</w:t>
            </w:r>
          </w:p>
        </w:tc>
      </w:tr>
    </w:tbl>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Оцінка впливу на сферу інтересів суб’єктів господарювання *</w:t>
      </w:r>
    </w:p>
    <w:tbl>
      <w:tblPr>
        <w:tblW w:w="9780" w:type="dxa"/>
        <w:jc w:val="left"/>
        <w:tblInd w:w="28" w:type="dxa"/>
        <w:tblCellMar>
          <w:top w:w="55" w:type="dxa"/>
          <w:left w:w="36" w:type="dxa"/>
          <w:bottom w:w="55" w:type="dxa"/>
          <w:right w:w="55" w:type="dxa"/>
        </w:tblCellMar>
        <w:tblLook w:firstRow="1" w:noVBand="1" w:lastRow="0" w:firstColumn="1" w:lastColumn="0" w:noHBand="0" w:val="04a0"/>
      </w:tblPr>
      <w:tblGrid>
        <w:gridCol w:w="1956"/>
        <w:gridCol w:w="1956"/>
        <w:gridCol w:w="1558"/>
        <w:gridCol w:w="4309"/>
      </w:tblGrid>
      <w:tr>
        <w:trPr/>
        <w:tc>
          <w:tcPr>
            <w:tcW w:w="1956" w:type="dxa"/>
            <w:tcBorders>
              <w:top w:val="single" w:sz="2" w:space="0" w:color="000001"/>
              <w:left w:val="single" w:sz="2" w:space="0" w:color="000001"/>
              <w:bottom w:val="single" w:sz="2" w:space="0" w:color="000001"/>
            </w:tcBorders>
            <w:shd w:color="auto" w:fill="auto" w:val="clear"/>
          </w:tcPr>
          <w:p>
            <w:pPr>
              <w:pStyle w:val="Style27"/>
              <w:rPr>
                <w:color w:val="auto"/>
              </w:rPr>
            </w:pPr>
            <w:r>
              <w:rPr>
                <w:color w:val="auto"/>
              </w:rPr>
              <w:t>Показник</w:t>
            </w:r>
          </w:p>
        </w:tc>
        <w:tc>
          <w:tcPr>
            <w:tcW w:w="1956" w:type="dxa"/>
            <w:tcBorders>
              <w:top w:val="single" w:sz="2" w:space="0" w:color="000001"/>
              <w:left w:val="single" w:sz="2" w:space="0" w:color="000001"/>
              <w:bottom w:val="single" w:sz="2" w:space="0" w:color="000001"/>
            </w:tcBorders>
            <w:shd w:color="auto" w:fill="auto" w:val="clear"/>
          </w:tcPr>
          <w:p>
            <w:pPr>
              <w:pStyle w:val="Style27"/>
              <w:rPr>
                <w:color w:val="auto"/>
              </w:rPr>
            </w:pPr>
            <w:r>
              <w:rPr>
                <w:color w:val="auto"/>
              </w:rPr>
              <w:t>Малі</w:t>
            </w:r>
          </w:p>
        </w:tc>
        <w:tc>
          <w:tcPr>
            <w:tcW w:w="1558" w:type="dxa"/>
            <w:tcBorders>
              <w:top w:val="single" w:sz="2" w:space="0" w:color="000001"/>
              <w:left w:val="single" w:sz="2" w:space="0" w:color="000001"/>
              <w:bottom w:val="single" w:sz="2" w:space="0" w:color="000001"/>
            </w:tcBorders>
            <w:shd w:color="auto" w:fill="auto" w:val="clear"/>
          </w:tcPr>
          <w:p>
            <w:pPr>
              <w:pStyle w:val="Style27"/>
              <w:rPr>
                <w:color w:val="auto"/>
              </w:rPr>
            </w:pPr>
            <w:r>
              <w:rPr>
                <w:color w:val="auto"/>
              </w:rPr>
              <w:t>Мікро</w:t>
            </w:r>
          </w:p>
        </w:tc>
        <w:tc>
          <w:tcPr>
            <w:tcW w:w="4309" w:type="dxa"/>
            <w:tcBorders>
              <w:top w:val="single" w:sz="2" w:space="0" w:color="000001"/>
              <w:left w:val="single" w:sz="2" w:space="0" w:color="000001"/>
              <w:bottom w:val="single" w:sz="2" w:space="0" w:color="000001"/>
              <w:right w:val="single" w:sz="2" w:space="0" w:color="000001"/>
            </w:tcBorders>
            <w:shd w:color="auto" w:fill="auto" w:val="clear"/>
          </w:tcPr>
          <w:p>
            <w:pPr>
              <w:pStyle w:val="Style27"/>
              <w:rPr>
                <w:color w:val="auto"/>
              </w:rPr>
            </w:pPr>
            <w:r>
              <w:rPr>
                <w:color w:val="auto"/>
              </w:rPr>
              <w:t>Разом</w:t>
            </w:r>
          </w:p>
        </w:tc>
      </w:tr>
      <w:tr>
        <w:trPr>
          <w:trHeight w:val="2384" w:hRule="atLeast"/>
        </w:trPr>
        <w:tc>
          <w:tcPr>
            <w:tcW w:w="1956" w:type="dxa"/>
            <w:tcBorders>
              <w:top w:val="single" w:sz="2" w:space="0" w:color="000001"/>
              <w:left w:val="single" w:sz="2" w:space="0" w:color="000001"/>
              <w:bottom w:val="single" w:sz="2" w:space="0" w:color="000001"/>
            </w:tcBorders>
            <w:shd w:color="auto" w:fill="auto" w:val="clear"/>
          </w:tcPr>
          <w:p>
            <w:pPr>
              <w:pStyle w:val="Style27"/>
              <w:rPr>
                <w:color w:val="auto"/>
              </w:rPr>
            </w:pPr>
            <w:r>
              <w:rPr>
                <w:color w:val="auto"/>
              </w:rPr>
              <w:t>Кількість субєктів господарювання що підпадають під дію регулювання, одиниць</w:t>
            </w:r>
          </w:p>
        </w:tc>
        <w:tc>
          <w:tcPr>
            <w:tcW w:w="1956" w:type="dxa"/>
            <w:tcBorders>
              <w:top w:val="single" w:sz="2" w:space="0" w:color="000001"/>
              <w:left w:val="single" w:sz="2" w:space="0" w:color="000001"/>
              <w:bottom w:val="single" w:sz="2" w:space="0" w:color="000001"/>
            </w:tcBorders>
            <w:shd w:color="auto" w:fill="auto" w:val="clear"/>
          </w:tcPr>
          <w:p>
            <w:pPr>
              <w:pStyle w:val="Style27"/>
              <w:rPr>
                <w:color w:val="auto"/>
                <w:lang w:val="en-US"/>
              </w:rPr>
            </w:pPr>
            <w:r>
              <w:rPr>
                <w:color w:val="auto"/>
                <w:lang w:val="en-US"/>
              </w:rPr>
              <w:t>10</w:t>
            </w:r>
          </w:p>
          <w:p>
            <w:pPr>
              <w:pStyle w:val="Style27"/>
              <w:rPr>
                <w:color w:val="auto"/>
                <w:lang w:val="en-US"/>
              </w:rPr>
            </w:pPr>
            <w:r>
              <w:rPr>
                <w:color w:val="auto"/>
                <w:lang w:val="en-US"/>
              </w:rPr>
            </w:r>
          </w:p>
          <w:p>
            <w:pPr>
              <w:pStyle w:val="Style27"/>
              <w:rPr>
                <w:color w:val="auto"/>
                <w:lang w:val="en-US"/>
              </w:rPr>
            </w:pPr>
            <w:r>
              <w:rPr>
                <w:color w:val="auto"/>
                <w:lang w:val="en-US"/>
              </w:rPr>
            </w:r>
          </w:p>
        </w:tc>
        <w:tc>
          <w:tcPr>
            <w:tcW w:w="1558" w:type="dxa"/>
            <w:tcBorders>
              <w:top w:val="single" w:sz="2" w:space="0" w:color="000001"/>
              <w:left w:val="single" w:sz="2" w:space="0" w:color="000001"/>
              <w:bottom w:val="single" w:sz="2" w:space="0" w:color="000001"/>
            </w:tcBorders>
            <w:shd w:color="auto" w:fill="auto" w:val="clear"/>
          </w:tcPr>
          <w:p>
            <w:pPr>
              <w:pStyle w:val="Style27"/>
              <w:rPr>
                <w:color w:val="auto"/>
                <w:lang w:val="uk-UA"/>
              </w:rPr>
            </w:pPr>
            <w:r>
              <w:rPr>
                <w:color w:val="auto"/>
                <w:lang w:val="uk-UA"/>
              </w:rPr>
              <w:t>5</w:t>
            </w:r>
          </w:p>
          <w:p>
            <w:pPr>
              <w:pStyle w:val="Style27"/>
              <w:rPr>
                <w:color w:val="auto"/>
                <w:lang w:val="uk-UA"/>
              </w:rPr>
            </w:pPr>
            <w:r>
              <w:rPr>
                <w:color w:val="auto"/>
                <w:lang w:val="uk-UA"/>
              </w:rPr>
            </w:r>
          </w:p>
        </w:tc>
        <w:tc>
          <w:tcPr>
            <w:tcW w:w="4309" w:type="dxa"/>
            <w:tcBorders>
              <w:top w:val="single" w:sz="2" w:space="0" w:color="000001"/>
              <w:left w:val="single" w:sz="2" w:space="0" w:color="000001"/>
              <w:bottom w:val="single" w:sz="2" w:space="0" w:color="000001"/>
              <w:right w:val="single" w:sz="2" w:space="0" w:color="000001"/>
            </w:tcBorders>
            <w:shd w:color="auto" w:fill="auto" w:val="clear"/>
          </w:tcPr>
          <w:p>
            <w:pPr>
              <w:pStyle w:val="Style27"/>
              <w:rPr>
                <w:color w:val="auto"/>
                <w:lang w:val="uk-UA"/>
              </w:rPr>
            </w:pPr>
            <w:r>
              <w:rPr>
                <w:color w:val="auto"/>
                <w:lang w:val="uk-UA"/>
              </w:rPr>
              <w:t>15</w:t>
            </w:r>
          </w:p>
          <w:p>
            <w:pPr>
              <w:pStyle w:val="Style27"/>
              <w:rPr>
                <w:color w:val="auto"/>
                <w:lang w:val="uk-UA"/>
              </w:rPr>
            </w:pPr>
            <w:r>
              <w:rPr>
                <w:color w:val="auto"/>
                <w:lang w:val="uk-UA"/>
              </w:rPr>
            </w:r>
          </w:p>
        </w:tc>
      </w:tr>
      <w:tr>
        <w:trPr/>
        <w:tc>
          <w:tcPr>
            <w:tcW w:w="1956" w:type="dxa"/>
            <w:tcBorders>
              <w:top w:val="single" w:sz="2" w:space="0" w:color="000001"/>
              <w:left w:val="single" w:sz="2" w:space="0" w:color="000001"/>
              <w:bottom w:val="single" w:sz="2" w:space="0" w:color="000001"/>
            </w:tcBorders>
            <w:shd w:color="auto" w:fill="auto" w:val="clear"/>
          </w:tcPr>
          <w:p>
            <w:pPr>
              <w:pStyle w:val="Style27"/>
              <w:rPr>
                <w:color w:val="auto"/>
              </w:rPr>
            </w:pPr>
            <w:r>
              <w:rPr>
                <w:color w:val="auto"/>
              </w:rPr>
              <w:t>Питома вага групи у загальній кількості, %</w:t>
            </w:r>
          </w:p>
        </w:tc>
        <w:tc>
          <w:tcPr>
            <w:tcW w:w="1956" w:type="dxa"/>
            <w:tcBorders>
              <w:top w:val="single" w:sz="2" w:space="0" w:color="000001"/>
              <w:left w:val="single" w:sz="2" w:space="0" w:color="000001"/>
              <w:bottom w:val="single" w:sz="2" w:space="0" w:color="000001"/>
            </w:tcBorders>
            <w:shd w:color="auto" w:fill="auto" w:val="clear"/>
          </w:tcPr>
          <w:p>
            <w:pPr>
              <w:pStyle w:val="Style27"/>
              <w:rPr>
                <w:color w:val="auto"/>
                <w:lang w:val="uk-UA"/>
              </w:rPr>
            </w:pPr>
            <w:r>
              <w:rPr>
                <w:color w:val="auto"/>
                <w:lang w:val="uk-UA"/>
              </w:rPr>
              <w:t>66,6%</w:t>
            </w:r>
          </w:p>
        </w:tc>
        <w:tc>
          <w:tcPr>
            <w:tcW w:w="1558" w:type="dxa"/>
            <w:tcBorders>
              <w:top w:val="single" w:sz="2" w:space="0" w:color="000001"/>
              <w:left w:val="single" w:sz="2" w:space="0" w:color="000001"/>
              <w:bottom w:val="single" w:sz="2" w:space="0" w:color="000001"/>
            </w:tcBorders>
            <w:shd w:color="auto" w:fill="auto" w:val="clear"/>
          </w:tcPr>
          <w:p>
            <w:pPr>
              <w:pStyle w:val="Style27"/>
              <w:rPr>
                <w:color w:val="auto"/>
                <w:lang w:val="uk-UA"/>
              </w:rPr>
            </w:pPr>
            <w:r>
              <w:rPr>
                <w:color w:val="auto"/>
                <w:lang w:val="uk-UA"/>
              </w:rPr>
              <w:t>33,4%</w:t>
            </w:r>
          </w:p>
        </w:tc>
        <w:tc>
          <w:tcPr>
            <w:tcW w:w="4309" w:type="dxa"/>
            <w:tcBorders>
              <w:top w:val="single" w:sz="2" w:space="0" w:color="000001"/>
              <w:left w:val="single" w:sz="2" w:space="0" w:color="000001"/>
              <w:bottom w:val="single" w:sz="2" w:space="0" w:color="000001"/>
              <w:right w:val="single" w:sz="2" w:space="0" w:color="000001"/>
            </w:tcBorders>
            <w:shd w:color="auto" w:fill="auto" w:val="clear"/>
          </w:tcPr>
          <w:p>
            <w:pPr>
              <w:pStyle w:val="Style27"/>
              <w:rPr>
                <w:color w:val="auto"/>
                <w:lang w:val="uk-UA"/>
              </w:rPr>
            </w:pPr>
            <w:r>
              <w:rPr>
                <w:color w:val="auto"/>
                <w:lang w:val="uk-UA"/>
              </w:rPr>
              <w:t>100%</w:t>
            </w:r>
          </w:p>
        </w:tc>
      </w:tr>
    </w:tbl>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 за даними Управління міського господарства Мукачівської міської ради.</w:t>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tbl>
      <w:tblPr>
        <w:tblW w:w="9600" w:type="dxa"/>
        <w:jc w:val="left"/>
        <w:tblInd w:w="24" w:type="dxa"/>
        <w:tblCellMar>
          <w:top w:w="0" w:type="dxa"/>
          <w:left w:w="78" w:type="dxa"/>
          <w:bottom w:w="0" w:type="dxa"/>
          <w:right w:w="108" w:type="dxa"/>
        </w:tblCellMar>
        <w:tblLook w:firstRow="1" w:noVBand="1" w:lastRow="0" w:firstColumn="1" w:lastColumn="0" w:noHBand="0" w:val="04a0"/>
      </w:tblPr>
      <w:tblGrid>
        <w:gridCol w:w="2445"/>
        <w:gridCol w:w="2955"/>
        <w:gridCol w:w="4200"/>
      </w:tblGrid>
      <w:tr>
        <w:trPr/>
        <w:tc>
          <w:tcPr>
            <w:tcW w:w="244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Вид альтернативи</w:t>
            </w:r>
          </w:p>
        </w:tc>
        <w:tc>
          <w:tcPr>
            <w:tcW w:w="295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Вигоди</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b/>
                <w:b/>
                <w:color w:val="auto"/>
                <w:sz w:val="28"/>
                <w:szCs w:val="28"/>
                <w:lang w:val="uk-UA"/>
              </w:rPr>
            </w:pPr>
            <w:r>
              <w:rPr>
                <w:rFonts w:cs="Times New Roman" w:ascii="Times New Roman" w:hAnsi="Times New Roman"/>
                <w:b/>
                <w:color w:val="auto"/>
                <w:sz w:val="28"/>
                <w:szCs w:val="28"/>
                <w:lang w:val="uk-UA"/>
              </w:rPr>
              <w:t>Витрати</w:t>
            </w:r>
          </w:p>
        </w:tc>
      </w:tr>
      <w:tr>
        <w:trPr/>
        <w:tc>
          <w:tcPr>
            <w:tcW w:w="244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1:</w:t>
            </w:r>
          </w:p>
          <w:p>
            <w:pPr>
              <w:pStyle w:val="Normal"/>
              <w:jc w:val="left"/>
              <w:rPr>
                <w:color w:val="auto"/>
              </w:rPr>
            </w:pPr>
            <w:r>
              <w:rPr>
                <w:rFonts w:cs="Times New Roman" w:ascii="Times New Roman" w:hAnsi="Times New Roman"/>
                <w:color w:val="auto"/>
                <w:sz w:val="28"/>
                <w:szCs w:val="28"/>
                <w:lang w:val="uk-UA"/>
              </w:rPr>
              <w:t>Не прийняття проєкту акту</w:t>
            </w:r>
          </w:p>
        </w:tc>
        <w:tc>
          <w:tcPr>
            <w:tcW w:w="295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Відсутні</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auto"/>
              </w:rPr>
            </w:pPr>
            <w:r>
              <w:rPr>
                <w:rFonts w:cs="Times New Roman" w:ascii="Times New Roman" w:hAnsi="Times New Roman"/>
                <w:color w:val="auto"/>
                <w:sz w:val="28"/>
                <w:szCs w:val="28"/>
                <w:lang w:val="uk-UA"/>
              </w:rPr>
              <w:t>Витрати, пов’язані з забезпеченням безпеки місця проведення  земляних робіт,а саме виконання заходів щодо запобігання нещасних та смертельних випадків (встановлення огорожі та інформаційних табличок), витрати з відновлення благоустрою. Витрати на рік становитимуть 45 00 грн, та на 5 років 22 500 грн</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r>
      <w:tr>
        <w:trPr>
          <w:trHeight w:val="1585" w:hRule="atLeast"/>
        </w:trPr>
        <w:tc>
          <w:tcPr>
            <w:tcW w:w="2445" w:type="dxa"/>
            <w:tcBorders>
              <w:top w:val="single" w:sz="4" w:space="0" w:color="000001"/>
              <w:left w:val="single" w:sz="4" w:space="0" w:color="000001"/>
              <w:bottom w:val="single" w:sz="4" w:space="0" w:color="000001"/>
            </w:tcBorders>
            <w:shd w:color="auto" w:fill="auto" w:val="clear"/>
          </w:tcPr>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Альтернатива 2:</w:t>
            </w:r>
          </w:p>
          <w:p>
            <w:pPr>
              <w:pStyle w:val="Normal"/>
              <w:jc w:val="both"/>
              <w:rPr>
                <w:color w:val="auto"/>
              </w:rPr>
            </w:pPr>
            <w:r>
              <w:rPr>
                <w:rFonts w:cs="Times New Roman" w:ascii="Times New Roman" w:hAnsi="Times New Roman"/>
                <w:color w:val="auto"/>
                <w:sz w:val="28"/>
                <w:szCs w:val="28"/>
                <w:lang w:val="uk-UA"/>
              </w:rPr>
              <w:t>Прийняття проєкту акту</w:t>
            </w:r>
          </w:p>
        </w:tc>
        <w:tc>
          <w:tcPr>
            <w:tcW w:w="2955" w:type="dxa"/>
            <w:tcBorders>
              <w:top w:val="single" w:sz="4" w:space="0" w:color="000001"/>
              <w:left w:val="single" w:sz="4" w:space="0" w:color="000001"/>
              <w:bottom w:val="single" w:sz="4" w:space="0" w:color="000001"/>
            </w:tcBorders>
            <w:shd w:color="auto" w:fill="auto" w:val="clear"/>
          </w:tcPr>
          <w:p>
            <w:pPr>
              <w:pStyle w:val="Normal"/>
              <w:jc w:val="lef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Чіткість, ясність, поетапність проведення робіт (земляних, ремонтних, аварійних), конкретизація прав та обов’язків під час проведення робіт (земляних, ремонтних, аварійних)</w:t>
            </w:r>
          </w:p>
        </w:tc>
        <w:tc>
          <w:tcPr>
            <w:tcW w:w="420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t>процедура подання заяви на видачу дозволу на порушення об’єкту благоустрою</w:t>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tc>
      </w:tr>
    </w:tbl>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ab/>
        <w:t>Під час проведення аналізу регуляторного впливу у телефонному режимі проведено консультації з суб’єктами господарювання щодо витрат, які можуть бути спричинені дією цього регуляторного акта. Так було з’ясовано, що суб’єкти господарювання в середньому нестимуть певні витрати, пов’язані з дією регуляторного акта.</w:t>
      </w:r>
    </w:p>
    <w:p>
      <w:pPr>
        <w:pStyle w:val="Normal"/>
        <w:widowControl/>
        <w:suppressAutoHyphens w:val="true"/>
        <w:rPr>
          <w:color w:val="auto"/>
        </w:rPr>
      </w:pPr>
      <w:r>
        <w:rPr>
          <w:color w:val="auto"/>
        </w:rPr>
      </w:r>
    </w:p>
    <w:p>
      <w:pPr>
        <w:pStyle w:val="Normal"/>
        <w:widowControl/>
        <w:suppressAutoHyphens w:val="true"/>
        <w:rPr>
          <w:color w:val="auto"/>
        </w:rPr>
      </w:pPr>
      <w:r>
        <w:rPr>
          <w:rFonts w:cs="Times New Roman" w:ascii="Times New Roman" w:hAnsi="Times New Roman"/>
          <w:b/>
          <w:color w:val="auto"/>
          <w:sz w:val="28"/>
          <w:szCs w:val="28"/>
          <w:lang w:val="uk-UA" w:eastAsia="zh-CN"/>
        </w:rPr>
        <w:t>І</w:t>
      </w:r>
      <w:r>
        <w:rPr>
          <w:rFonts w:cs="Times New Roman" w:ascii="Times New Roman" w:hAnsi="Times New Roman"/>
          <w:b/>
          <w:color w:val="auto"/>
          <w:sz w:val="28"/>
          <w:szCs w:val="28"/>
          <w:lang w:val="en-US" w:eastAsia="zh-CN"/>
        </w:rPr>
        <w:t>V</w:t>
      </w:r>
      <w:r>
        <w:rPr>
          <w:rFonts w:cs="Times New Roman" w:ascii="Times New Roman" w:hAnsi="Times New Roman"/>
          <w:b/>
          <w:color w:val="auto"/>
          <w:sz w:val="28"/>
          <w:szCs w:val="28"/>
          <w:lang w:val="uk-UA" w:eastAsia="zh-CN"/>
        </w:rPr>
        <w:t xml:space="preserve">. Вибір найбільш оптимального альтернативного способу </w:t>
      </w:r>
    </w:p>
    <w:p>
      <w:pPr>
        <w:pStyle w:val="Normal"/>
        <w:widowControl/>
        <w:suppressAutoHyphens w:val="true"/>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досягнення цілей</w:t>
      </w:r>
    </w:p>
    <w:p>
      <w:pPr>
        <w:pStyle w:val="Normal"/>
        <w:widowControl/>
        <w:suppressAutoHyphens w:val="true"/>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r>
    </w:p>
    <w:p>
      <w:pPr>
        <w:pStyle w:val="Normal"/>
        <w:widowControl/>
        <w:jc w:val="both"/>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t>У ході визначення альтернативних способів досягнення встановлених цілей розглянуто наступні:</w:t>
      </w:r>
    </w:p>
    <w:p>
      <w:pPr>
        <w:pStyle w:val="Normal"/>
        <w:widowControl/>
        <w:jc w:val="both"/>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tab/>
        <w:t>1. Залишити чинне регулювання і зберегти дану ситуацію без змін.</w:t>
      </w:r>
    </w:p>
    <w:p>
      <w:pPr>
        <w:pStyle w:val="Normal"/>
        <w:widowControl/>
        <w:jc w:val="both"/>
        <w:rPr>
          <w:rFonts w:ascii="Times New Roman" w:hAnsi="Times New Roman" w:cs="Times New Roman"/>
          <w:bCs/>
          <w:color w:val="auto"/>
          <w:sz w:val="28"/>
          <w:szCs w:val="28"/>
          <w:lang w:val="uk-UA"/>
        </w:rPr>
      </w:pPr>
      <w:r>
        <w:rPr>
          <w:rFonts w:cs="Times New Roman" w:ascii="Times New Roman" w:hAnsi="Times New Roman"/>
          <w:bCs/>
          <w:color w:val="auto"/>
          <w:sz w:val="28"/>
          <w:szCs w:val="28"/>
          <w:lang w:val="uk-UA"/>
        </w:rPr>
        <w:tab/>
        <w:t>2. Прийняття запропонованого регуляторного акта.</w:t>
      </w:r>
    </w:p>
    <w:p>
      <w:pPr>
        <w:pStyle w:val="Normal"/>
        <w:widowControl/>
        <w:ind w:firstLine="708"/>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 за чотирибальною системою оцінки ступеня досягнення визначених цілей, де: </w:t>
      </w:r>
    </w:p>
    <w:p>
      <w:pPr>
        <w:pStyle w:val="Normal"/>
        <w:widowControl/>
        <w:ind w:firstLine="708"/>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4 - цілі прийняття регуляторного акта, які можуть бути досягнуті повною мірою (проблема більше існувати не буде);</w:t>
      </w:r>
    </w:p>
    <w:p>
      <w:pPr>
        <w:pStyle w:val="Normal"/>
        <w:widowControl/>
        <w:ind w:firstLine="708"/>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pPr>
        <w:pStyle w:val="Normal"/>
        <w:widowControl/>
        <w:ind w:firstLine="708"/>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pStyle w:val="Normal"/>
        <w:widowControl/>
        <w:suppressAutoHyphens w:val="true"/>
        <w:jc w:val="both"/>
        <w:rPr>
          <w:rFonts w:ascii="Times New Roman" w:hAnsi="Times New Roman" w:cs="Times New Roman"/>
          <w:bCs/>
          <w:color w:val="auto"/>
          <w:sz w:val="28"/>
          <w:szCs w:val="28"/>
          <w:lang w:val="uk-UA" w:eastAsia="zh-CN"/>
        </w:rPr>
      </w:pPr>
      <w:r>
        <w:rPr>
          <w:rFonts w:cs="Times New Roman" w:ascii="Times New Roman" w:hAnsi="Times New Roman"/>
          <w:bCs/>
          <w:color w:val="auto"/>
          <w:sz w:val="28"/>
          <w:szCs w:val="28"/>
          <w:lang w:val="uk-UA" w:eastAsia="zh-CN"/>
        </w:rPr>
        <w:t>1 - цілі прийняття регуляторного акта, які не можуть бути досягнуті (проблема продовжує існувати).</w:t>
      </w:r>
    </w:p>
    <w:p>
      <w:pPr>
        <w:pStyle w:val="Normal"/>
        <w:widowControl/>
        <w:suppressAutoHyphens w:val="true"/>
        <w:jc w:val="both"/>
        <w:rPr/>
      </w:pPr>
      <w:r>
        <w:rPr>
          <w:rFonts w:cs="Times New Roman" w:ascii="Times New Roman" w:hAnsi="Times New Roman"/>
          <w:bCs/>
          <w:color w:val="auto"/>
          <w:sz w:val="28"/>
          <w:szCs w:val="28"/>
          <w:lang w:val="uk-UA" w:eastAsia="zh-CN"/>
        </w:rPr>
        <w:tab/>
      </w:r>
      <w:r>
        <w:rPr>
          <w:rFonts w:cs="Times New Roman" w:ascii="Times New Roman" w:hAnsi="Times New Roman"/>
          <w:color w:val="auto"/>
          <w:sz w:val="28"/>
          <w:szCs w:val="28"/>
          <w:lang w:val="uk-UA" w:eastAsia="zh-CN"/>
        </w:rPr>
        <w:t xml:space="preserve">Контроль та нагляд за додержанням вимог регуляторного акта буде здійснюватись Управлінням муніципальної інспекції Мукачівської міської ради. </w:t>
      </w:r>
    </w:p>
    <w:tbl>
      <w:tblPr>
        <w:tblW w:w="9630" w:type="dxa"/>
        <w:jc w:val="left"/>
        <w:tblInd w:w="-6" w:type="dxa"/>
        <w:tblCellMar>
          <w:top w:w="0" w:type="dxa"/>
          <w:left w:w="78" w:type="dxa"/>
          <w:bottom w:w="0" w:type="dxa"/>
          <w:right w:w="108" w:type="dxa"/>
        </w:tblCellMar>
        <w:tblLook w:firstRow="1" w:noVBand="1" w:lastRow="0" w:firstColumn="1" w:lastColumn="0" w:noHBand="0" w:val="04a0"/>
      </w:tblPr>
      <w:tblGrid>
        <w:gridCol w:w="3149"/>
        <w:gridCol w:w="3285"/>
        <w:gridCol w:w="3196"/>
      </w:tblGrid>
      <w:tr>
        <w:trPr/>
        <w:tc>
          <w:tcPr>
            <w:tcW w:w="3149"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both"/>
              <w:rPr>
                <w:rFonts w:ascii="Times New Roman" w:hAnsi="Times New Roman" w:cs="Times New Roman"/>
                <w:b/>
                <w:b/>
                <w:color w:val="auto"/>
                <w:lang w:val="uk-UA" w:eastAsia="zh-CN"/>
              </w:rPr>
            </w:pPr>
            <w:r>
              <w:rPr>
                <w:rFonts w:cs="Times New Roman" w:ascii="Times New Roman" w:hAnsi="Times New Roman"/>
                <w:b/>
                <w:color w:val="auto"/>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both"/>
              <w:rPr>
                <w:rFonts w:ascii="Times New Roman" w:hAnsi="Times New Roman" w:cs="Times New Roman"/>
                <w:b/>
                <w:b/>
                <w:color w:val="auto"/>
                <w:lang w:val="uk-UA" w:eastAsia="zh-CN"/>
              </w:rPr>
            </w:pPr>
            <w:r>
              <w:rPr>
                <w:rFonts w:cs="Times New Roman" w:ascii="Times New Roman" w:hAnsi="Times New Roman"/>
                <w:b/>
                <w:color w:val="auto"/>
                <w:lang w:val="uk-UA" w:eastAsia="zh-CN"/>
              </w:rPr>
              <w:t>Бал результативності ( за чотирибальною системою оцінки)</w:t>
            </w:r>
          </w:p>
        </w:tc>
        <w:tc>
          <w:tcPr>
            <w:tcW w:w="31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both"/>
              <w:rPr>
                <w:rFonts w:ascii="Times New Roman" w:hAnsi="Times New Roman" w:cs="Times New Roman"/>
                <w:b/>
                <w:b/>
                <w:color w:val="auto"/>
                <w:lang w:val="uk-UA" w:eastAsia="zh-CN"/>
              </w:rPr>
            </w:pPr>
            <w:r>
              <w:rPr>
                <w:rFonts w:cs="Times New Roman" w:ascii="Times New Roman" w:hAnsi="Times New Roman"/>
                <w:b/>
                <w:color w:val="auto"/>
                <w:lang w:val="uk-UA" w:eastAsia="zh-CN"/>
              </w:rPr>
              <w:t>Коментарі щодо присвоєння відповідного бала</w:t>
            </w:r>
          </w:p>
        </w:tc>
      </w:tr>
      <w:tr>
        <w:trPr>
          <w:trHeight w:val="1547" w:hRule="atLeast"/>
        </w:trPr>
        <w:tc>
          <w:tcPr>
            <w:tcW w:w="3149"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both"/>
              <w:rPr>
                <w:rFonts w:ascii="Times New Roman" w:hAnsi="Times New Roman" w:cs="Times New Roman"/>
                <w:color w:val="auto"/>
                <w:lang w:val="uk-UA" w:eastAsia="zh-CN"/>
              </w:rPr>
            </w:pPr>
            <w:r>
              <w:rPr>
                <w:rFonts w:cs="Times New Roman" w:ascii="Times New Roman" w:hAnsi="Times New Roman"/>
                <w:color w:val="auto"/>
                <w:lang w:val="uk-UA" w:eastAsia="zh-CN"/>
              </w:rPr>
              <w:t>Альтернатива 1</w:t>
            </w:r>
          </w:p>
        </w:tc>
        <w:tc>
          <w:tcPr>
            <w:tcW w:w="3285" w:type="dxa"/>
            <w:tcBorders>
              <w:top w:val="single" w:sz="4" w:space="0" w:color="000001"/>
              <w:left w:val="single" w:sz="4" w:space="0" w:color="000001"/>
              <w:bottom w:val="single" w:sz="4" w:space="0" w:color="000001"/>
            </w:tcBorders>
            <w:shd w:color="auto" w:fill="auto" w:val="clear"/>
          </w:tcPr>
          <w:p>
            <w:pPr>
              <w:pStyle w:val="Normal"/>
              <w:widowControl/>
              <w:suppressAutoHyphens w:val="true"/>
              <w:rPr>
                <w:rFonts w:ascii="Times New Roman" w:hAnsi="Times New Roman" w:cs="Times New Roman"/>
                <w:color w:val="auto"/>
                <w:highlight w:val="white"/>
                <w:lang w:val="uk-UA"/>
              </w:rPr>
            </w:pPr>
            <w:r>
              <w:rPr>
                <w:rFonts w:cs="Times New Roman" w:ascii="Times New Roman" w:hAnsi="Times New Roman"/>
                <w:color w:val="000000"/>
                <w:shd w:fill="FFFFFF" w:val="clear"/>
                <w:lang w:val="uk-UA"/>
              </w:rPr>
              <w:t>1</w:t>
            </w:r>
          </w:p>
          <w:p>
            <w:pPr>
              <w:pStyle w:val="Normal"/>
              <w:widowControl/>
              <w:suppressAutoHyphens w:val="true"/>
              <w:rPr>
                <w:rFonts w:ascii="Times New Roman" w:hAnsi="Times New Roman" w:cs="Times New Roman"/>
                <w:color w:val="auto"/>
                <w:highlight w:val="white"/>
                <w:lang w:val="uk-UA"/>
              </w:rPr>
            </w:pPr>
            <w:r>
              <w:rPr>
                <w:rFonts w:cs="Times New Roman" w:ascii="Times New Roman" w:hAnsi="Times New Roman"/>
                <w:color w:val="auto"/>
                <w:highlight w:val="white"/>
                <w:lang w:val="uk-UA"/>
              </w:rPr>
            </w:r>
          </w:p>
        </w:tc>
        <w:tc>
          <w:tcPr>
            <w:tcW w:w="31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left"/>
              <w:rPr>
                <w:color w:val="auto"/>
              </w:rPr>
            </w:pPr>
            <w:r>
              <w:rPr>
                <w:rFonts w:cs="Times New Roman" w:ascii="Times New Roman" w:hAnsi="Times New Roman"/>
                <w:color w:val="auto"/>
                <w:sz w:val="28"/>
                <w:szCs w:val="28"/>
                <w:highlight w:val="white"/>
                <w:lang w:val="uk-UA" w:eastAsia="zh-CN"/>
              </w:rPr>
              <w:t xml:space="preserve"> </w:t>
            </w:r>
            <w:r>
              <w:rPr>
                <w:rFonts w:cs="Times New Roman" w:ascii="Times New Roman" w:hAnsi="Times New Roman"/>
                <w:color w:val="auto"/>
                <w:sz w:val="28"/>
                <w:szCs w:val="28"/>
                <w:highlight w:val="white"/>
                <w:lang w:val="uk-UA" w:eastAsia="zh-CN"/>
              </w:rPr>
              <w:t>Неврегульованість питання оформлення документів дозвільного характеру</w:t>
            </w:r>
          </w:p>
        </w:tc>
      </w:tr>
      <w:tr>
        <w:trPr>
          <w:trHeight w:val="1216" w:hRule="atLeast"/>
        </w:trPr>
        <w:tc>
          <w:tcPr>
            <w:tcW w:w="3149" w:type="dxa"/>
            <w:tcBorders>
              <w:top w:val="single" w:sz="4" w:space="0" w:color="000001"/>
              <w:left w:val="single" w:sz="4" w:space="0" w:color="000001"/>
              <w:bottom w:val="single" w:sz="4" w:space="0" w:color="000001"/>
            </w:tcBorders>
            <w:shd w:color="auto" w:fill="auto" w:val="clear"/>
          </w:tcPr>
          <w:p>
            <w:pPr>
              <w:pStyle w:val="Normal"/>
              <w:widowControl/>
              <w:suppressAutoHyphens w:val="true"/>
              <w:jc w:val="both"/>
              <w:rPr>
                <w:rFonts w:ascii="Times New Roman" w:hAnsi="Times New Roman" w:cs="Times New Roman"/>
                <w:color w:val="auto"/>
                <w:lang w:val="uk-UA" w:eastAsia="zh-CN"/>
              </w:rPr>
            </w:pPr>
            <w:r>
              <w:rPr>
                <w:rFonts w:cs="Times New Roman" w:ascii="Times New Roman" w:hAnsi="Times New Roman"/>
                <w:color w:val="auto"/>
                <w:lang w:val="uk-UA" w:eastAsia="zh-CN"/>
              </w:rPr>
              <w:t>Альтернатива 2</w:t>
            </w:r>
          </w:p>
        </w:tc>
        <w:tc>
          <w:tcPr>
            <w:tcW w:w="3285" w:type="dxa"/>
            <w:tcBorders>
              <w:top w:val="single" w:sz="4" w:space="0" w:color="000001"/>
              <w:left w:val="single" w:sz="4" w:space="0" w:color="000001"/>
              <w:bottom w:val="single" w:sz="4" w:space="0" w:color="000001"/>
            </w:tcBorders>
            <w:shd w:color="auto" w:fill="auto" w:val="clear"/>
          </w:tcPr>
          <w:p>
            <w:pPr>
              <w:pStyle w:val="Normal"/>
              <w:widowControl/>
              <w:suppressAutoHyphens w:val="true"/>
              <w:rPr>
                <w:color w:val="auto"/>
                <w:lang w:val="uk-UA"/>
              </w:rPr>
            </w:pPr>
            <w:r>
              <w:rPr>
                <w:color w:val="auto"/>
                <w:lang w:val="uk-UA"/>
              </w:rPr>
              <w:t>4</w:t>
            </w:r>
          </w:p>
        </w:tc>
        <w:tc>
          <w:tcPr>
            <w:tcW w:w="31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suppressAutoHyphens w:val="true"/>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Забезпечує вирішення проблемних питань в повному обсязі</w:t>
            </w:r>
          </w:p>
        </w:tc>
      </w:tr>
    </w:tbl>
    <w:p>
      <w:pPr>
        <w:pStyle w:val="Normal"/>
        <w:widowControl/>
        <w:suppressAutoHyphens w:val="true"/>
        <w:jc w:val="both"/>
        <w:rPr>
          <w:rFonts w:ascii="Times New Roman" w:hAnsi="Times New Roman" w:cs="Times New Roman"/>
          <w:color w:val="auto"/>
          <w:lang w:val="uk-UA" w:eastAsia="zh-CN"/>
        </w:rPr>
      </w:pPr>
      <w:r>
        <w:rPr>
          <w:rFonts w:cs="Times New Roman" w:ascii="Times New Roman" w:hAnsi="Times New Roman"/>
          <w:color w:val="auto"/>
          <w:lang w:val="uk-UA" w:eastAsia="zh-CN"/>
        </w:rPr>
      </w:r>
    </w:p>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Реалізація цього регуляторного акта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акта.</w:t>
      </w:r>
    </w:p>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ab/>
        <w:t>Впровадження даного регуляторного акта забезпечить отримання загального позитивного ефекту та досягнення визначених цілей.</w:t>
      </w:r>
    </w:p>
    <w:p>
      <w:pPr>
        <w:pStyle w:val="Normal"/>
        <w:widowContro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ab/>
        <w:t>На даний час немає об’єктивних обставин, які б перешкоджали впровадженню та виконанню вимог цього регуляторного акта органами влади, фізичними та юридичними особами, запровадження регуляторного акта не передбачає заподіяння шкоди внаслідок його дії.</w:t>
      </w:r>
    </w:p>
    <w:p>
      <w:pPr>
        <w:pStyle w:val="Normal"/>
        <w:widowContro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ab/>
        <w:t>Перевагою впровадження регуляторного акта є врегулювання правовідносин між суб’єктами, на яких розповсюджується дія регуляторного акта, та органом місцевого самоврядування, створення умов для реалізації прав суб’єктами у цій сфері.</w:t>
      </w:r>
    </w:p>
    <w:p>
      <w:pPr>
        <w:pStyle w:val="Normal"/>
        <w:widowContro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widowControl/>
        <w:suppressAutoHyphens w:val="true"/>
        <w:rPr>
          <w:color w:val="auto"/>
        </w:rPr>
      </w:pPr>
      <w:r>
        <w:rPr>
          <w:rFonts w:cs="Times New Roman" w:ascii="Times New Roman" w:hAnsi="Times New Roman"/>
          <w:b/>
          <w:color w:val="auto"/>
          <w:sz w:val="28"/>
          <w:szCs w:val="28"/>
          <w:lang w:val="en-US" w:eastAsia="zh-CN"/>
        </w:rPr>
        <w:t>V</w:t>
      </w:r>
      <w:r>
        <w:rPr>
          <w:rFonts w:cs="Times New Roman" w:ascii="Times New Roman" w:hAnsi="Times New Roman"/>
          <w:b/>
          <w:color w:val="auto"/>
          <w:sz w:val="28"/>
          <w:szCs w:val="28"/>
          <w:lang w:eastAsia="zh-CN"/>
        </w:rPr>
        <w:t xml:space="preserve">. </w:t>
      </w:r>
      <w:r>
        <w:rPr>
          <w:rFonts w:cs="Times New Roman" w:ascii="Times New Roman" w:hAnsi="Times New Roman"/>
          <w:b/>
          <w:color w:val="auto"/>
          <w:sz w:val="28"/>
          <w:szCs w:val="28"/>
          <w:lang w:val="uk-UA" w:eastAsia="zh-CN"/>
        </w:rPr>
        <w:t xml:space="preserve">Механізм, який пропонується застосувати </w:t>
      </w:r>
    </w:p>
    <w:p>
      <w:pPr>
        <w:pStyle w:val="Normal"/>
        <w:widowControl/>
        <w:suppressAutoHyphens w:val="true"/>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для розв’язання проблеми</w:t>
      </w:r>
    </w:p>
    <w:p>
      <w:pPr>
        <w:pStyle w:val="Normal"/>
        <w:widowControl/>
        <w:suppressAutoHyphens w:val="true"/>
        <w:ind w:firstLine="708"/>
        <w:jc w:val="both"/>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Запропоновані механізми регуляторного акта, за допомогою яких можна розв’язати проблему:</w:t>
      </w:r>
    </w:p>
    <w:p>
      <w:pPr>
        <w:pStyle w:val="Normal"/>
        <w:ind w:firstLine="708"/>
        <w:jc w:val="both"/>
        <w:rPr>
          <w:color w:val="auto"/>
          <w:lang w:val="uk-UA"/>
        </w:rPr>
      </w:pPr>
      <w:r>
        <w:rPr>
          <w:rFonts w:cs="Times New Roman" w:ascii="Times New Roman" w:hAnsi="Times New Roman"/>
          <w:color w:val="auto"/>
          <w:sz w:val="28"/>
          <w:szCs w:val="28"/>
          <w:lang w:val="uk-UA"/>
        </w:rPr>
        <w:t>Для вирішення проблеми пропонується затвердити Пр</w:t>
      </w:r>
      <w:r>
        <w:rPr>
          <w:rFonts w:cs="Times New Roman" w:ascii="Times New Roman" w:hAnsi="Times New Roman"/>
          <w:color w:val="auto"/>
          <w:sz w:val="28"/>
          <w:szCs w:val="28"/>
          <w:lang w:val="uk-UA" w:eastAsia="zh-CN"/>
        </w:rPr>
        <w:t>авила проведення земляних робіт на території Мукачівської міської об’єднаної територіальної громади.</w:t>
      </w:r>
      <w:r>
        <w:rPr>
          <w:rFonts w:cs="Times New Roman" w:ascii="Times New Roman" w:hAnsi="Times New Roman"/>
          <w:color w:val="auto"/>
          <w:sz w:val="28"/>
          <w:szCs w:val="28"/>
          <w:lang w:val="uk-UA"/>
        </w:rPr>
        <w:t xml:space="preserve"> 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w:t>
      </w:r>
    </w:p>
    <w:p>
      <w:pPr>
        <w:pStyle w:val="Normal"/>
        <w:widowControl/>
        <w:suppressAutoHyphens w:val="true"/>
        <w:ind w:firstLine="708"/>
        <w:jc w:val="both"/>
        <w:rPr>
          <w:color w:val="auto"/>
        </w:rPr>
      </w:pPr>
      <w:r>
        <w:rPr>
          <w:rFonts w:cs="Times New Roman" w:ascii="Times New Roman" w:hAnsi="Times New Roman"/>
          <w:color w:val="auto"/>
          <w:sz w:val="28"/>
          <w:szCs w:val="28"/>
          <w:lang w:val="uk-UA" w:eastAsia="zh-CN"/>
        </w:rPr>
        <w:t>Заходи, які мають здійснити органи влади для впровадження цього регуляторного акта:</w:t>
      </w:r>
      <w:r>
        <w:rPr>
          <w:rFonts w:cs="Times New Roman" w:ascii="Times New Roman" w:hAnsi="Times New Roman"/>
          <w:b/>
          <w:color w:val="auto"/>
          <w:sz w:val="28"/>
          <w:szCs w:val="28"/>
          <w:lang w:val="uk-UA" w:eastAsia="zh-CN"/>
        </w:rPr>
        <w:t xml:space="preserve">  </w:t>
      </w:r>
    </w:p>
    <w:p>
      <w:pPr>
        <w:pStyle w:val="Normal"/>
        <w:widowControl/>
        <w:suppressAutoHyphens w:val="true"/>
        <w:jc w:val="both"/>
        <w:rPr>
          <w:color w:val="auto"/>
          <w:lang w:val="uk-UA"/>
        </w:rPr>
      </w:pPr>
      <w:r>
        <w:rPr>
          <w:rFonts w:cs="Times New Roman" w:ascii="Times New Roman" w:hAnsi="Times New Roman"/>
          <w:color w:val="auto"/>
          <w:sz w:val="28"/>
          <w:szCs w:val="28"/>
          <w:lang w:val="uk-UA" w:eastAsia="zh-CN"/>
        </w:rPr>
        <w:tab/>
        <w:t xml:space="preserve">Розробка проєкту рішення  Мукачівської міської ради </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Про затвердження правил проведення земляних робіт на території Мукачівської міської об’єднаної територіальної громади</w:t>
      </w:r>
      <w:r>
        <w:rPr>
          <w:rFonts w:cs="Times New Roman" w:ascii="Times New Roman" w:hAnsi="Times New Roman"/>
          <w:bCs/>
          <w:color w:val="auto"/>
          <w:sz w:val="28"/>
          <w:szCs w:val="28"/>
          <w:lang w:val="uk-UA" w:eastAsia="zh-CN"/>
        </w:rPr>
        <w:t>»</w:t>
      </w:r>
      <w:r>
        <w:rPr>
          <w:rFonts w:cs="Times New Roman" w:ascii="Times New Roman" w:hAnsi="Times New Roman"/>
          <w:color w:val="auto"/>
          <w:sz w:val="28"/>
          <w:szCs w:val="28"/>
          <w:lang w:val="uk-UA" w:eastAsia="zh-CN"/>
        </w:rPr>
        <w:t xml:space="preserve"> та АРВ до нього. </w:t>
      </w:r>
    </w:p>
    <w:p>
      <w:pPr>
        <w:pStyle w:val="Normal"/>
        <w:widowControl/>
        <w:suppressAutoHyphens w:val="true"/>
        <w:ind w:firstLine="708"/>
        <w:jc w:val="both"/>
        <w:rPr>
          <w:color w:val="auto"/>
        </w:rPr>
      </w:pPr>
      <w:r>
        <w:rPr>
          <w:rFonts w:cs="Times New Roman" w:ascii="Times New Roman" w:hAnsi="Times New Roman"/>
          <w:color w:val="auto"/>
          <w:sz w:val="28"/>
          <w:szCs w:val="28"/>
          <w:lang w:val="uk-UA" w:eastAsia="zh-CN"/>
        </w:rPr>
        <w:t>Оприлюднення проєкту разом з АРВ та отримання пропозицій і зауважень.</w:t>
      </w:r>
    </w:p>
    <w:p>
      <w:pPr>
        <w:pStyle w:val="Normal"/>
        <w:widowControl/>
        <w:suppressAutoHyphens w:val="true"/>
        <w:ind w:firstLine="708"/>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Прийняття рішення на засіданні виконавчого комітету Мукачівської міської ради.</w:t>
      </w:r>
    </w:p>
    <w:p>
      <w:pPr>
        <w:pStyle w:val="Normal"/>
        <w:widowControl/>
        <w:suppressAutoHyphens w:val="true"/>
        <w:ind w:firstLine="708"/>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Оприлюднення рішення у встановленому законодавством порядку.</w:t>
      </w:r>
    </w:p>
    <w:p>
      <w:pPr>
        <w:pStyle w:val="Normal"/>
        <w:widowControl/>
        <w:suppressAutoHyphens w:val="true"/>
        <w:ind w:firstLine="708"/>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Проведення заходів з відстеження результативності прийнятого рішення.</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suppressAutoHyphens w:val="true"/>
        <w:ind w:firstLine="708"/>
        <w:rPr>
          <w:color w:val="auto"/>
          <w:lang w:val="uk-UA"/>
        </w:rPr>
      </w:pPr>
      <w:r>
        <w:rPr>
          <w:rFonts w:cs="Times New Roman" w:ascii="Times New Roman" w:hAnsi="Times New Roman"/>
          <w:b/>
          <w:color w:val="auto"/>
          <w:sz w:val="28"/>
          <w:szCs w:val="28"/>
          <w:lang w:val="en-US" w:eastAsia="zh-CN"/>
        </w:rPr>
        <w:t>VI</w:t>
      </w:r>
      <w:r>
        <w:rPr>
          <w:rFonts w:cs="Times New Roman" w:ascii="Times New Roman" w:hAnsi="Times New Roman"/>
          <w:b/>
          <w:color w:val="auto"/>
          <w:sz w:val="28"/>
          <w:szCs w:val="28"/>
          <w:lang w:val="uk-UA" w:eastAsia="zh-CN"/>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вимоги</w:t>
      </w:r>
    </w:p>
    <w:p>
      <w:pPr>
        <w:pStyle w:val="Normal"/>
        <w:widowControl/>
        <w:suppressAutoHyphens w:val="true"/>
        <w:ind w:firstLine="708"/>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Розрахунок згідно з додатком 2 не здійснюється, оскільки кількість суб’єктів на яких поширюється регулювання, становить 6 суб’єктів мало в т.ч.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w:t>
      </w:r>
    </w:p>
    <w:p>
      <w:pPr>
        <w:pStyle w:val="Normal"/>
        <w:widowControl/>
        <w:suppressAutoHyphens w:val="true"/>
        <w:jc w:val="both"/>
        <w:rPr>
          <w:color w:val="auto"/>
        </w:rPr>
      </w:pPr>
      <w:r>
        <w:rPr>
          <w:rFonts w:cs="Times New Roman" w:ascii="Times New Roman" w:hAnsi="Times New Roman"/>
          <w:color w:val="auto"/>
          <w:sz w:val="28"/>
          <w:szCs w:val="28"/>
          <w:lang w:val="uk-UA" w:eastAsia="zh-CN"/>
        </w:rPr>
        <w:tab/>
        <w:t>Реалізація регуляторного акта створить сприятливі умови для отримання документів дозвільного характеру у відповідності до вимог чинного законодавства та зменшити кількість правопорушень у сфері благоустрою населених пунктів</w:t>
      </w:r>
      <w:r>
        <w:rPr>
          <w:rFonts w:cs="Times New Roman" w:ascii="Times New Roman" w:hAnsi="Times New Roman"/>
          <w:b/>
          <w:color w:val="auto"/>
          <w:sz w:val="28"/>
          <w:szCs w:val="28"/>
          <w:lang w:val="uk-UA" w:eastAsia="zh-CN"/>
        </w:rPr>
        <w:t>.</w:t>
      </w:r>
      <w:r>
        <w:rPr>
          <w:rFonts w:cs="Times New Roman" w:ascii="Times New Roman" w:hAnsi="Times New Roman"/>
          <w:color w:val="auto"/>
          <w:sz w:val="28"/>
          <w:szCs w:val="28"/>
          <w:lang w:val="uk-UA" w:eastAsia="zh-CN"/>
        </w:rPr>
        <w:tab/>
      </w:r>
    </w:p>
    <w:p>
      <w:pPr>
        <w:pStyle w:val="Normal"/>
        <w:widowContro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ab/>
        <w:t>Для реалізації регуляторного акта виконавчого комітету Мукачівської міської ради та відповідний структурний підрозділ Управління міського господарства Мукачівської міської ради не понесуть додаткових витрат з місцевого бюджету.</w:t>
      </w:r>
    </w:p>
    <w:p>
      <w:pPr>
        <w:pStyle w:val="Normal"/>
        <w:widowControl/>
        <w:suppressAutoHyphens w:val="true"/>
        <w:jc w:val="both"/>
        <w:rPr/>
      </w:pPr>
      <w:r>
        <w:rPr>
          <w:rFonts w:cs="Times New Roman" w:ascii="Times New Roman" w:hAnsi="Times New Roman"/>
          <w:color w:val="auto"/>
          <w:sz w:val="28"/>
          <w:szCs w:val="28"/>
          <w:lang w:val="uk-UA" w:eastAsia="zh-CN"/>
        </w:rPr>
        <w:t>Можлива шкода від прийняття регуляторного акта не прогнозується.</w:t>
      </w:r>
    </w:p>
    <w:p>
      <w:pPr>
        <w:pStyle w:val="Normal"/>
        <w:widowControl/>
        <w:suppressAutoHyphens w:val="true"/>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p>
    <w:p>
      <w:pPr>
        <w:pStyle w:val="Normal"/>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VII. Обґрунтування запропонованого строку дії регуляторного акта</w:t>
      </w:r>
    </w:p>
    <w:p>
      <w:pPr>
        <w:pStyle w:val="Normal"/>
        <w:jc w:val="both"/>
        <w:rPr>
          <w:color w:val="auto"/>
          <w:lang w:val="uk-UA"/>
        </w:rPr>
      </w:pPr>
      <w:r>
        <w:rPr>
          <w:rFonts w:cs="Times New Roman" w:ascii="Times New Roman" w:hAnsi="Times New Roman"/>
          <w:color w:val="auto"/>
          <w:sz w:val="28"/>
          <w:szCs w:val="28"/>
          <w:lang w:val="uk-UA"/>
        </w:rPr>
        <w:tab/>
        <w:t>Рішення</w:t>
      </w:r>
      <w:r>
        <w:rPr>
          <w:rFonts w:cs="Times New Roman" w:ascii="Times New Roman" w:hAnsi="Times New Roman"/>
          <w:b/>
          <w:bCs/>
          <w:color w:val="auto"/>
          <w:sz w:val="28"/>
          <w:szCs w:val="28"/>
          <w:lang w:val="uk-UA"/>
        </w:rPr>
        <w:t xml:space="preserve"> </w:t>
      </w:r>
      <w:r>
        <w:rPr>
          <w:rFonts w:cs="Times New Roman" w:ascii="Times New Roman" w:hAnsi="Times New Roman"/>
          <w:color w:val="auto"/>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міської ОТГ. </w:t>
      </w:r>
    </w:p>
    <w:p>
      <w:pPr>
        <w:pStyle w:val="Normal"/>
        <w:jc w:val="both"/>
        <w:rPr/>
      </w:pPr>
      <w:r>
        <w:rPr>
          <w:rFonts w:cs="Times New Roman" w:ascii="Times New Roman" w:hAnsi="Times New Roman"/>
          <w:color w:val="auto"/>
          <w:sz w:val="28"/>
          <w:szCs w:val="28"/>
          <w:lang w:val="uk-UA"/>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pPr>
      <w:r>
        <w:rPr>
          <w:rFonts w:cs="Times New Roman" w:ascii="Times New Roman" w:hAnsi="Times New Roman"/>
          <w:b/>
          <w:bCs/>
          <w:color w:val="auto"/>
          <w:sz w:val="28"/>
          <w:szCs w:val="28"/>
          <w:lang w:val="uk-UA"/>
        </w:rPr>
        <w:t xml:space="preserve">   </w:t>
      </w:r>
      <w:r>
        <w:rPr>
          <w:rFonts w:cs="Times New Roman" w:ascii="Times New Roman" w:hAnsi="Times New Roman"/>
          <w:b/>
          <w:bCs/>
          <w:color w:val="auto"/>
          <w:sz w:val="28"/>
          <w:szCs w:val="28"/>
          <w:lang w:val="uk-UA"/>
        </w:rPr>
        <w:t>VIII. Визначення показників результативності дії регуляторного акта</w:t>
      </w:r>
    </w:p>
    <w:p>
      <w:pPr>
        <w:pStyle w:val="12"/>
        <w:keepNext w:val="true"/>
        <w:keepLines/>
        <w:shd w:fill="FFFFFF" w:val="clear"/>
        <w:spacing w:lineRule="exact" w:line="270" w:before="0" w:after="0"/>
        <w:jc w:val="both"/>
        <w:rPr/>
      </w:pPr>
      <w:r>
        <w:rPr>
          <w:b w:val="false"/>
          <w:color w:val="auto"/>
          <w:sz w:val="28"/>
          <w:szCs w:val="28"/>
        </w:rPr>
        <w:t>Основними показниками результативності регуляторного акта є:</w:t>
      </w:r>
    </w:p>
    <w:p>
      <w:pPr>
        <w:pStyle w:val="Normal"/>
        <w:jc w:val="both"/>
        <w:rPr/>
      </w:pPr>
      <w:r>
        <w:rPr>
          <w:rFonts w:cs="Times New Roman" w:ascii="Times New Roman" w:hAnsi="Times New Roman"/>
          <w:color w:val="auto"/>
          <w:sz w:val="28"/>
          <w:szCs w:val="28"/>
          <w:lang w:val="uk-UA"/>
        </w:rPr>
        <w:t>1. Кількість поданих заяв на отримання дозволу на земляні роботи -0;</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2. Кількість наданих дозволів на виконання земляних робіт -0 ;</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 xml:space="preserve">3. Видано попереджень - 0; </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4.Розмір надходжень до місцевого бюджету і місцевого цільового фонду, пов'язаних з дією акта – не прогнозується;</w:t>
      </w:r>
    </w:p>
    <w:p>
      <w:pPr>
        <w:pStyle w:val="Normal"/>
        <w:jc w:val="both"/>
        <w:rPr>
          <w:color w:val="auto"/>
        </w:rPr>
      </w:pPr>
      <w:r>
        <w:rPr>
          <w:rFonts w:cs="Times New Roman" w:ascii="Times New Roman" w:hAnsi="Times New Roman"/>
          <w:color w:val="auto"/>
          <w:sz w:val="28"/>
          <w:szCs w:val="28"/>
          <w:lang w:val="uk-UA"/>
        </w:rPr>
        <w:t>5.Розмір коштів і час, що витрачатимуться суб’єктами господарювання та/або фізичними особами, пов’язаними з виконанням вимог акта - 1900 грн 0.5 год/рік</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6.Кількість суб’єктів господарювання та/або фізичних осіб, на яких поширюватиметься дія акта — 15;</w:t>
      </w:r>
    </w:p>
    <w:p>
      <w:pPr>
        <w:pStyle w:val="Normal"/>
        <w:widowControl/>
        <w:suppressAutoHyphens w:val="true"/>
        <w:ind w:firstLine="708"/>
        <w:jc w:val="both"/>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r>
    </w:p>
    <w:p>
      <w:pPr>
        <w:pStyle w:val="Normal"/>
        <w:widowControl/>
        <w:suppressAutoHyphens w:val="true"/>
        <w:ind w:firstLine="708"/>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IX. Визначення заходів, за допомогою яких здійснюватиметься відстеження результативності дії регуляторного акта</w:t>
      </w:r>
    </w:p>
    <w:p>
      <w:pPr>
        <w:pStyle w:val="Normal"/>
        <w:widowControl/>
        <w:suppressAutoHyphens w:val="true"/>
        <w:ind w:firstLine="708"/>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widowControl/>
        <w:suppressAutoHyphens w:val="true"/>
        <w:ind w:firstLine="708"/>
        <w:jc w:val="both"/>
        <w:rPr>
          <w:rFonts w:ascii="Times New Roman" w:hAnsi="Times New Roman" w:cs="Times New Roman"/>
          <w:b/>
          <w:b/>
          <w:color w:val="auto"/>
          <w:sz w:val="28"/>
          <w:szCs w:val="28"/>
          <w:lang w:val="uk-UA" w:eastAsia="zh-CN"/>
        </w:rPr>
      </w:pPr>
      <w:r>
        <w:rPr>
          <w:rFonts w:cs="Times New Roman" w:ascii="Times New Roman" w:hAnsi="Times New Roman"/>
          <w:b/>
          <w:color w:val="auto"/>
          <w:sz w:val="28"/>
          <w:szCs w:val="28"/>
          <w:lang w:val="uk-UA" w:eastAsia="zh-CN"/>
        </w:rPr>
        <w:t>Метод проведення відстеження результативності:</w:t>
      </w:r>
    </w:p>
    <w:p>
      <w:pPr>
        <w:pStyle w:val="Normal"/>
        <w:widowControl/>
        <w:suppressAutoHyphens w:val="true"/>
        <w:ind w:firstLine="708"/>
        <w:jc w:val="both"/>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Базове відстеження результативності регуляторного акта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Повторне відстеження буде здійснюватися через рік після набрання чинності регуляторного акта.</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Періодичні відстеження планується здійснювати один раз в три роки, з дня виконання заходів повторного відстеження.</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 xml:space="preserve">Начальник УМГ </w:t>
        <w:tab/>
        <w:tab/>
        <w:tab/>
        <w:tab/>
        <w:tab/>
        <w:tab/>
        <w:tab/>
        <w:tab/>
        <w:t xml:space="preserve">    В. Гасинець</w:t>
      </w:r>
    </w:p>
    <w:p>
      <w:pPr>
        <w:pStyle w:val="Normal"/>
        <w:ind w:firstLine="709"/>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jc w:val="left"/>
        <w:rPr>
          <w:rFonts w:ascii="Times New Roman" w:hAnsi="Times New Roman" w:cs="Times New Roman"/>
          <w:color w:val="auto"/>
          <w:sz w:val="28"/>
          <w:szCs w:val="28"/>
          <w:lang w:val="uk-UA" w:eastAsia="zh-CN"/>
        </w:rPr>
      </w:pPr>
      <w:r>
        <w:rPr>
          <w:rFonts w:cs="Times New Roman" w:ascii="Times New Roman" w:hAnsi="Times New Roman"/>
          <w:color w:val="auto"/>
          <w:sz w:val="28"/>
          <w:szCs w:val="28"/>
          <w:lang w:val="uk-UA" w:eastAsia="zh-CN"/>
        </w:rPr>
      </w:r>
      <w:r>
        <w:br w:type="page"/>
      </w:r>
    </w:p>
    <w:p>
      <w:pPr>
        <w:pStyle w:val="Rvps12"/>
        <w:spacing w:before="0" w:after="0"/>
        <w:ind w:left="3539" w:firstLine="709"/>
        <w:textAlignment w:val="baseline"/>
        <w:rPr>
          <w:color w:val="auto"/>
        </w:rPr>
      </w:pPr>
      <w:r>
        <w:rPr>
          <w:color w:val="auto"/>
        </w:rPr>
        <w:t>Додаток 1</w:t>
      </w:r>
    </w:p>
    <w:p>
      <w:pPr>
        <w:pStyle w:val="Style28"/>
        <w:ind w:left="4248" w:hanging="0"/>
        <w:jc w:val="both"/>
        <w:rPr>
          <w:color w:val="auto"/>
        </w:rPr>
      </w:pPr>
      <w:r>
        <w:rPr>
          <w:color w:val="auto"/>
        </w:rPr>
        <w:t xml:space="preserve">до аналізу регуляторного впливу регуляторного акта – проєкту рішення виконавчого комітету Мукачівської міської ради </w:t>
      </w:r>
      <w:r>
        <w:rPr>
          <w:bCs/>
          <w:color w:val="auto"/>
        </w:rPr>
        <w:t>«</w:t>
      </w:r>
      <w:r>
        <w:rPr>
          <w:color w:val="auto"/>
        </w:rPr>
        <w:t>Про затвердження правил проведення земляних робіт на території Мукачівської міської об’єднаної територіальної громади</w:t>
      </w:r>
      <w:r>
        <w:rPr>
          <w:bCs/>
          <w:color w:val="auto"/>
        </w:rPr>
        <w:t>»</w:t>
      </w:r>
    </w:p>
    <w:p>
      <w:pPr>
        <w:pStyle w:val="Rvps12"/>
        <w:shd w:val="clear" w:color="auto" w:fill="FFFFFF"/>
        <w:spacing w:before="0" w:after="0"/>
        <w:textAlignment w:val="baseline"/>
        <w:rPr>
          <w:color w:val="auto"/>
        </w:rPr>
      </w:pPr>
      <w:r>
        <w:rPr>
          <w:color w:val="auto"/>
        </w:rPr>
      </w:r>
    </w:p>
    <w:p>
      <w:pPr>
        <w:pStyle w:val="Rvps12"/>
        <w:shd w:val="clear" w:color="auto" w:fill="FFFFFF"/>
        <w:spacing w:before="0" w:after="0"/>
        <w:jc w:val="center"/>
        <w:textAlignment w:val="baseline"/>
        <w:rPr>
          <w:color w:val="auto"/>
        </w:rPr>
      </w:pPr>
      <w:r>
        <w:rPr>
          <w:rStyle w:val="Rvts15"/>
          <w:b/>
          <w:bCs/>
          <w:color w:val="auto"/>
          <w:sz w:val="28"/>
          <w:szCs w:val="28"/>
        </w:rPr>
        <w:t>ТЕСТ</w:t>
      </w:r>
      <w:r>
        <w:rPr>
          <w:rStyle w:val="Appleconvertedspace"/>
          <w:b/>
          <w:bCs/>
          <w:color w:val="auto"/>
          <w:sz w:val="28"/>
          <w:szCs w:val="28"/>
        </w:rPr>
        <w:t> </w:t>
      </w:r>
    </w:p>
    <w:p>
      <w:pPr>
        <w:pStyle w:val="Rvps12"/>
        <w:shd w:val="clear" w:color="auto" w:fill="FFFFFF"/>
        <w:spacing w:before="0" w:after="0"/>
        <w:jc w:val="center"/>
        <w:textAlignment w:val="baseline"/>
        <w:rPr>
          <w:color w:val="auto"/>
        </w:rPr>
      </w:pPr>
      <w:r>
        <w:rPr>
          <w:rStyle w:val="Rvts15"/>
          <w:b/>
          <w:bCs/>
          <w:color w:val="auto"/>
          <w:sz w:val="28"/>
          <w:szCs w:val="28"/>
        </w:rPr>
        <w:t>малого підприємництва (М-Тест)</w:t>
      </w:r>
    </w:p>
    <w:p>
      <w:pPr>
        <w:pStyle w:val="Rvps2"/>
        <w:shd w:val="clear" w:color="auto" w:fill="FFFFFF"/>
        <w:spacing w:before="120" w:after="0"/>
        <w:ind w:firstLine="709"/>
        <w:jc w:val="both"/>
        <w:textAlignment w:val="baseline"/>
        <w:rPr>
          <w:color w:val="auto"/>
          <w:sz w:val="28"/>
          <w:szCs w:val="28"/>
        </w:rPr>
      </w:pPr>
      <w:bookmarkStart w:id="15" w:name="n200"/>
      <w:bookmarkEnd w:id="15"/>
      <w:r>
        <w:rPr>
          <w:color w:val="auto"/>
          <w:sz w:val="28"/>
          <w:szCs w:val="28"/>
        </w:rPr>
        <w:t>1. Консультації з представниками мікро- та малого підприємництва щодо оцінки впливу регулювання</w:t>
      </w:r>
    </w:p>
    <w:p>
      <w:pPr>
        <w:pStyle w:val="Rvps2"/>
        <w:shd w:val="clear" w:color="auto" w:fill="FFFFFF"/>
        <w:spacing w:before="0" w:after="0"/>
        <w:ind w:firstLine="709"/>
        <w:jc w:val="both"/>
        <w:textAlignment w:val="baseline"/>
        <w:rPr>
          <w:color w:val="auto"/>
          <w:sz w:val="28"/>
          <w:szCs w:val="28"/>
        </w:rPr>
      </w:pPr>
      <w:bookmarkStart w:id="16" w:name="n201"/>
      <w:bookmarkEnd w:id="16"/>
      <w:r>
        <w:rPr>
          <w:color w:val="auto"/>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 р.</w:t>
      </w:r>
    </w:p>
    <w:p>
      <w:pPr>
        <w:pStyle w:val="Rvps2"/>
        <w:shd w:val="clear" w:color="auto" w:fill="FFFFFF"/>
        <w:spacing w:before="0" w:after="0"/>
        <w:ind w:firstLine="709"/>
        <w:jc w:val="both"/>
        <w:textAlignment w:val="baseline"/>
        <w:rPr>
          <w:color w:val="auto"/>
          <w:sz w:val="28"/>
          <w:szCs w:val="28"/>
        </w:rPr>
      </w:pPr>
      <w:r>
        <w:rPr>
          <w:color w:val="auto"/>
          <w:sz w:val="28"/>
          <w:szCs w:val="28"/>
        </w:rPr>
      </w:r>
    </w:p>
    <w:tbl>
      <w:tblPr>
        <w:tblW w:w="9649" w:type="dxa"/>
        <w:jc w:val="left"/>
        <w:tblInd w:w="9" w:type="dxa"/>
        <w:tblCellMar>
          <w:top w:w="0" w:type="dxa"/>
          <w:left w:w="5" w:type="dxa"/>
          <w:bottom w:w="0" w:type="dxa"/>
          <w:right w:w="0" w:type="dxa"/>
        </w:tblCellMar>
        <w:tblLook w:firstRow="1" w:noVBand="1" w:lastRow="0" w:firstColumn="1" w:lastColumn="0" w:noHBand="0" w:val="04a0"/>
      </w:tblPr>
      <w:tblGrid>
        <w:gridCol w:w="930"/>
        <w:gridCol w:w="2819"/>
        <w:gridCol w:w="1725"/>
        <w:gridCol w:w="4174"/>
      </w:tblGrid>
      <w:tr>
        <w:trPr>
          <w:trHeight w:val="3513" w:hRule="atLeast"/>
        </w:trPr>
        <w:tc>
          <w:tcPr>
            <w:tcW w:w="93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rPr>
            </w:pPr>
            <w:r>
              <w:rPr>
                <w:color w:val="auto"/>
                <w:sz w:val="28"/>
                <w:szCs w:val="28"/>
              </w:rPr>
              <w:t xml:space="preserve">№ </w:t>
            </w:r>
            <w:r>
              <w:rPr>
                <w:color w:val="auto"/>
                <w:sz w:val="28"/>
                <w:szCs w:val="28"/>
              </w:rPr>
              <w:t>з/п</w:t>
            </w:r>
          </w:p>
        </w:tc>
        <w:tc>
          <w:tcPr>
            <w:tcW w:w="281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2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Кількість учасників консультацій, осіб</w:t>
            </w:r>
          </w:p>
        </w:tc>
        <w:tc>
          <w:tcPr>
            <w:tcW w:w="4174"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Основні результати консультацій (опис)</w:t>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tc>
      </w:tr>
      <w:tr>
        <w:trPr/>
        <w:tc>
          <w:tcPr>
            <w:tcW w:w="93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w:t>
            </w:r>
          </w:p>
        </w:tc>
        <w:tc>
          <w:tcPr>
            <w:tcW w:w="2819" w:type="dxa"/>
            <w:tcBorders>
              <w:top w:val="single" w:sz="4" w:space="0" w:color="000001"/>
              <w:left w:val="single" w:sz="4" w:space="0" w:color="000001"/>
              <w:bottom w:val="single" w:sz="4" w:space="0" w:color="000001"/>
            </w:tcBorders>
            <w:shd w:color="auto" w:fill="auto" w:val="clear"/>
          </w:tcPr>
          <w:p>
            <w:pPr>
              <w:pStyle w:val="Rvps12"/>
              <w:spacing w:before="0" w:after="0"/>
              <w:textAlignment w:val="baseline"/>
              <w:rPr>
                <w:color w:val="auto"/>
                <w:sz w:val="28"/>
                <w:szCs w:val="28"/>
              </w:rPr>
            </w:pPr>
            <w:r>
              <w:rPr>
                <w:color w:val="auto"/>
                <w:sz w:val="28"/>
                <w:szCs w:val="28"/>
              </w:rPr>
              <w:t>Запит до комунальних підприємств</w:t>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tc>
        <w:tc>
          <w:tcPr>
            <w:tcW w:w="172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lang w:val="en-US"/>
              </w:rPr>
            </w:pPr>
            <w:r>
              <w:rPr>
                <w:color w:val="auto"/>
                <w:sz w:val="28"/>
                <w:szCs w:val="28"/>
                <w:lang w:val="en-US"/>
              </w:rPr>
              <w:t>2</w:t>
            </w:r>
          </w:p>
          <w:p>
            <w:pPr>
              <w:pStyle w:val="Rvps12"/>
              <w:spacing w:before="0" w:after="0"/>
              <w:jc w:val="center"/>
              <w:textAlignment w:val="baseline"/>
              <w:rPr>
                <w:color w:val="auto"/>
                <w:sz w:val="28"/>
                <w:szCs w:val="28"/>
              </w:rPr>
            </w:pPr>
            <w:r>
              <w:rPr>
                <w:color w:val="auto"/>
                <w:sz w:val="28"/>
                <w:szCs w:val="28"/>
              </w:rPr>
            </w:r>
          </w:p>
        </w:tc>
        <w:tc>
          <w:tcPr>
            <w:tcW w:w="4174"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ind w:left="48" w:right="153" w:hanging="0"/>
              <w:textAlignment w:val="baseline"/>
              <w:rPr>
                <w:color w:val="auto"/>
                <w:sz w:val="28"/>
                <w:szCs w:val="28"/>
              </w:rPr>
            </w:pPr>
            <w:r>
              <w:rPr>
                <w:color w:val="auto"/>
                <w:sz w:val="28"/>
                <w:szCs w:val="28"/>
              </w:rPr>
              <w:t xml:space="preserve">Надання інформації по суті </w:t>
            </w:r>
          </w:p>
        </w:tc>
      </w:tr>
      <w:tr>
        <w:trPr>
          <w:trHeight w:val="1549" w:hRule="atLeast"/>
        </w:trPr>
        <w:tc>
          <w:tcPr>
            <w:tcW w:w="93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2.</w:t>
            </w:r>
          </w:p>
        </w:tc>
        <w:tc>
          <w:tcPr>
            <w:tcW w:w="2819" w:type="dxa"/>
            <w:tcBorders>
              <w:top w:val="single" w:sz="4" w:space="0" w:color="000001"/>
              <w:left w:val="single" w:sz="4" w:space="0" w:color="000001"/>
              <w:bottom w:val="single" w:sz="4" w:space="0" w:color="000001"/>
            </w:tcBorders>
            <w:shd w:color="auto" w:fill="auto" w:val="clear"/>
          </w:tcPr>
          <w:p>
            <w:pPr>
              <w:pStyle w:val="Rvps12"/>
              <w:spacing w:before="0" w:after="0"/>
              <w:textAlignment w:val="baseline"/>
              <w:rPr>
                <w:color w:val="auto"/>
                <w:sz w:val="28"/>
                <w:szCs w:val="28"/>
              </w:rPr>
            </w:pPr>
            <w:r>
              <w:rPr>
                <w:color w:val="auto"/>
                <w:sz w:val="28"/>
                <w:szCs w:val="28"/>
              </w:rPr>
              <w:t xml:space="preserve">Робочі зустрічі ,консультації </w:t>
            </w:r>
          </w:p>
        </w:tc>
        <w:tc>
          <w:tcPr>
            <w:tcW w:w="172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11</w:t>
            </w:r>
          </w:p>
        </w:tc>
        <w:tc>
          <w:tcPr>
            <w:tcW w:w="4174"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ind w:left="48" w:right="153" w:hanging="0"/>
              <w:textAlignment w:val="baseline"/>
              <w:rPr>
                <w:color w:val="auto"/>
              </w:rPr>
            </w:pPr>
            <w:r>
              <w:rPr>
                <w:rStyle w:val="Appleconvertedspace"/>
                <w:color w:val="auto"/>
                <w:sz w:val="28"/>
                <w:szCs w:val="28"/>
              </w:rPr>
              <w:t>Обговорено проблемні питання отримання дозволів та витрати часу на його оформлення</w:t>
            </w:r>
          </w:p>
        </w:tc>
      </w:tr>
    </w:tbl>
    <w:p>
      <w:pPr>
        <w:pStyle w:val="Rvps2"/>
        <w:shd w:val="clear" w:color="auto" w:fill="FFFFFF"/>
        <w:spacing w:before="0" w:after="0"/>
        <w:ind w:firstLine="502"/>
        <w:textAlignment w:val="baseline"/>
        <w:rPr>
          <w:color w:val="auto"/>
        </w:rPr>
      </w:pPr>
      <w:r>
        <w:rPr>
          <w:color w:val="auto"/>
        </w:rPr>
      </w:r>
      <w:bookmarkStart w:id="17" w:name="n203"/>
      <w:bookmarkStart w:id="18" w:name="n202"/>
      <w:bookmarkStart w:id="19" w:name="n203"/>
      <w:bookmarkStart w:id="20" w:name="n202"/>
      <w:bookmarkEnd w:id="19"/>
      <w:bookmarkEnd w:id="20"/>
    </w:p>
    <w:p>
      <w:pPr>
        <w:pStyle w:val="Rvps2"/>
        <w:shd w:val="clear" w:color="auto" w:fill="FFFFFF"/>
        <w:spacing w:before="0" w:after="0"/>
        <w:jc w:val="both"/>
        <w:textAlignment w:val="baseline"/>
        <w:rPr>
          <w:color w:val="auto"/>
          <w:sz w:val="28"/>
          <w:szCs w:val="28"/>
        </w:rPr>
      </w:pPr>
      <w:r>
        <w:rPr>
          <w:color w:val="auto"/>
          <w:sz w:val="28"/>
          <w:szCs w:val="28"/>
        </w:rPr>
        <w:tab/>
        <w:t>2. Вимірювання впливу регулювання на суб’єктів малого підприємництва (мікро- та малі):</w:t>
      </w:r>
    </w:p>
    <w:p>
      <w:pPr>
        <w:pStyle w:val="Rvps2"/>
        <w:shd w:val="clear" w:color="auto" w:fill="FFFFFF"/>
        <w:spacing w:before="0" w:after="0"/>
        <w:ind w:firstLine="709"/>
        <w:jc w:val="both"/>
        <w:textAlignment w:val="baseline"/>
        <w:rPr>
          <w:color w:val="auto"/>
        </w:rPr>
      </w:pPr>
      <w:bookmarkStart w:id="21" w:name="n204"/>
      <w:bookmarkEnd w:id="21"/>
      <w:r>
        <w:rPr>
          <w:color w:val="auto"/>
          <w:sz w:val="28"/>
          <w:szCs w:val="28"/>
        </w:rPr>
        <w:t>кількість суб’єктів малого підприємництва, на яких поширюється регулювання: 15 одиниць, у тому числі малого підприємництва 10 (одиниць), мікропідприємництва 5 (одиниць);</w:t>
      </w:r>
    </w:p>
    <w:p>
      <w:pPr>
        <w:pStyle w:val="Rvps2"/>
        <w:shd w:val="clear" w:color="auto" w:fill="FFFFFF"/>
        <w:spacing w:before="0" w:after="0"/>
        <w:ind w:firstLine="709"/>
        <w:jc w:val="both"/>
        <w:textAlignment w:val="baseline"/>
        <w:rPr>
          <w:color w:val="auto"/>
          <w:sz w:val="28"/>
          <w:szCs w:val="28"/>
        </w:rPr>
      </w:pPr>
      <w:r>
        <w:rPr>
          <w:color w:val="auto"/>
          <w:sz w:val="28"/>
          <w:szCs w:val="28"/>
        </w:rPr>
      </w:r>
    </w:p>
    <w:p>
      <w:pPr>
        <w:pStyle w:val="Rvps2"/>
        <w:shd w:val="clear" w:color="auto" w:fill="FFFFFF"/>
        <w:spacing w:before="0" w:after="0"/>
        <w:ind w:firstLine="709"/>
        <w:jc w:val="both"/>
        <w:textAlignment w:val="baseline"/>
        <w:rPr>
          <w:color w:val="auto"/>
          <w:sz w:val="28"/>
          <w:szCs w:val="28"/>
        </w:rPr>
      </w:pPr>
      <w:r>
        <w:rPr>
          <w:color w:val="auto"/>
          <w:sz w:val="28"/>
          <w:szCs w:val="28"/>
        </w:rPr>
      </w:r>
    </w:p>
    <w:p>
      <w:pPr>
        <w:pStyle w:val="Rvps2"/>
        <w:shd w:val="clear" w:color="auto" w:fill="FFFFFF"/>
        <w:spacing w:before="0" w:after="0"/>
        <w:ind w:firstLine="709"/>
        <w:jc w:val="both"/>
        <w:textAlignment w:val="baseline"/>
        <w:rPr>
          <w:color w:val="auto"/>
          <w:sz w:val="28"/>
          <w:szCs w:val="28"/>
        </w:rPr>
      </w:pPr>
      <w:bookmarkStart w:id="22" w:name="n205"/>
      <w:bookmarkEnd w:id="22"/>
      <w:r>
        <w:rPr>
          <w:color w:val="auto"/>
          <w:sz w:val="28"/>
          <w:szCs w:val="28"/>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аналізу впливу регуляторного акта).</w:t>
      </w:r>
    </w:p>
    <w:p>
      <w:pPr>
        <w:pStyle w:val="Rvps2"/>
        <w:shd w:val="clear" w:color="auto" w:fill="FFFFFF"/>
        <w:spacing w:before="120" w:after="0"/>
        <w:ind w:firstLine="709"/>
        <w:jc w:val="both"/>
        <w:textAlignment w:val="baseline"/>
        <w:rPr>
          <w:color w:val="auto"/>
          <w:sz w:val="28"/>
          <w:szCs w:val="28"/>
        </w:rPr>
      </w:pPr>
      <w:bookmarkStart w:id="23" w:name="n206"/>
      <w:bookmarkEnd w:id="23"/>
      <w:r>
        <w:rPr>
          <w:color w:val="auto"/>
          <w:sz w:val="28"/>
          <w:szCs w:val="28"/>
        </w:rPr>
        <w:t>3. Розрахунок витрат суб’єктів малого підприємництва на виконання вимог регулювання</w:t>
      </w:r>
    </w:p>
    <w:tbl>
      <w:tblPr>
        <w:tblW w:w="9585" w:type="dxa"/>
        <w:jc w:val="left"/>
        <w:tblInd w:w="39" w:type="dxa"/>
        <w:tblCellMar>
          <w:top w:w="0" w:type="dxa"/>
          <w:left w:w="5" w:type="dxa"/>
          <w:bottom w:w="0" w:type="dxa"/>
          <w:right w:w="0" w:type="dxa"/>
        </w:tblCellMar>
        <w:tblLook w:firstRow="1" w:noVBand="1" w:lastRow="0" w:firstColumn="1" w:lastColumn="0" w:noHBand="0" w:val="04a0"/>
      </w:tblPr>
      <w:tblGrid>
        <w:gridCol w:w="690"/>
        <w:gridCol w:w="2610"/>
        <w:gridCol w:w="2265"/>
        <w:gridCol w:w="824"/>
        <w:gridCol w:w="91"/>
        <w:gridCol w:w="1214"/>
        <w:gridCol w:w="1891"/>
      </w:tblGrid>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rPr>
            </w:pPr>
            <w:bookmarkStart w:id="24" w:name="n207"/>
            <w:bookmarkEnd w:id="24"/>
            <w:r>
              <w:rPr>
                <w:color w:val="auto"/>
                <w:sz w:val="28"/>
                <w:szCs w:val="28"/>
              </w:rPr>
              <w:t xml:space="preserve">№ </w:t>
            </w:r>
            <w:r>
              <w:rPr>
                <w:color w:val="auto"/>
                <w:sz w:val="28"/>
                <w:szCs w:val="28"/>
              </w:rPr>
              <w:t>з/п</w:t>
            </w:r>
          </w:p>
        </w:tc>
        <w:tc>
          <w:tcPr>
            <w:tcW w:w="261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Найменування оцінки</w:t>
            </w:r>
          </w:p>
        </w:tc>
        <w:tc>
          <w:tcPr>
            <w:tcW w:w="226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У перший рік (стартовий рік впровадження регулювання)</w:t>
            </w:r>
          </w:p>
        </w:tc>
        <w:tc>
          <w:tcPr>
            <w:tcW w:w="2129" w:type="dxa"/>
            <w:gridSpan w:val="3"/>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Періодичні (за наступний рік)</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color w:val="auto"/>
              </w:rPr>
            </w:pPr>
            <w:r>
              <w:rPr>
                <w:color w:val="auto"/>
                <w:sz w:val="28"/>
                <w:szCs w:val="28"/>
              </w:rPr>
              <w:t>Витрати за</w:t>
            </w:r>
            <w:r>
              <w:rPr>
                <w:rStyle w:val="Appleconvertedspace"/>
                <w:color w:val="auto"/>
                <w:sz w:val="28"/>
                <w:szCs w:val="28"/>
              </w:rPr>
              <w:t> </w:t>
            </w:r>
            <w:r>
              <w:rPr>
                <w:color w:val="auto"/>
                <w:sz w:val="28"/>
                <w:szCs w:val="28"/>
              </w:rPr>
              <w:br/>
              <w:t>п’ять років</w:t>
            </w:r>
          </w:p>
        </w:tc>
      </w:tr>
      <w:tr>
        <w:trPr>
          <w:trHeight w:val="23" w:hRule="atLeast"/>
        </w:trPr>
        <w:tc>
          <w:tcPr>
            <w:tcW w:w="9585" w:type="dxa"/>
            <w:gridSpan w:val="7"/>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Оцінка “прямих” витрат суб’єктів малого підприємництва на виконання регулювання</w:t>
            </w:r>
          </w:p>
        </w:tc>
      </w:tr>
      <w:tr>
        <w:trPr>
          <w:trHeight w:val="627"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Придбання необхідного обладнання (пристроїв, машин, механізмів)</w:t>
            </w:r>
          </w:p>
        </w:tc>
        <w:tc>
          <w:tcPr>
            <w:tcW w:w="2265" w:type="dxa"/>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color w:val="auto"/>
              </w:rPr>
            </w:pPr>
            <w:r>
              <w:rPr>
                <w:color w:val="auto"/>
                <w:sz w:val="28"/>
                <w:szCs w:val="28"/>
                <w:lang w:val="en-US"/>
              </w:rPr>
              <w:t xml:space="preserve">300 </w:t>
            </w:r>
            <w:r>
              <w:rPr>
                <w:color w:val="auto"/>
                <w:sz w:val="28"/>
                <w:szCs w:val="28"/>
              </w:rPr>
              <w:t>грн</w:t>
            </w:r>
          </w:p>
          <w:p>
            <w:pPr>
              <w:pStyle w:val="Rvps14"/>
              <w:spacing w:before="0" w:after="0"/>
              <w:jc w:val="center"/>
              <w:textAlignment w:val="baseline"/>
              <w:rPr>
                <w:color w:val="auto"/>
                <w:sz w:val="28"/>
                <w:szCs w:val="28"/>
                <w:lang w:val="en-US"/>
              </w:rPr>
            </w:pPr>
            <w:r>
              <w:rPr>
                <w:color w:val="auto"/>
                <w:sz w:val="28"/>
                <w:szCs w:val="28"/>
                <w:lang w:val="en-US"/>
              </w:rPr>
            </w:r>
          </w:p>
        </w:tc>
        <w:tc>
          <w:tcPr>
            <w:tcW w:w="2129" w:type="dxa"/>
            <w:gridSpan w:val="3"/>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color w:val="auto"/>
                <w:sz w:val="28"/>
                <w:szCs w:val="28"/>
              </w:rPr>
            </w:pPr>
            <w:r>
              <w:rPr>
                <w:color w:val="auto"/>
                <w:sz w:val="28"/>
                <w:szCs w:val="28"/>
              </w:rPr>
              <w:t>0,0</w:t>
            </w:r>
          </w:p>
        </w:tc>
        <w:tc>
          <w:tcPr>
            <w:tcW w:w="189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Rvps14"/>
              <w:spacing w:before="0" w:after="0"/>
              <w:jc w:val="center"/>
              <w:textAlignment w:val="baseline"/>
              <w:rPr>
                <w:color w:val="auto"/>
              </w:rPr>
            </w:pPr>
            <w:r>
              <w:rPr>
                <w:color w:val="auto"/>
                <w:sz w:val="28"/>
                <w:szCs w:val="28"/>
                <w:lang w:val="en-US"/>
              </w:rPr>
              <w:t xml:space="preserve">1500 </w:t>
            </w:r>
            <w:r>
              <w:rPr>
                <w:color w:val="auto"/>
                <w:sz w:val="28"/>
                <w:szCs w:val="28"/>
              </w:rPr>
              <w:t>грн</w:t>
            </w:r>
          </w:p>
          <w:p>
            <w:pPr>
              <w:pStyle w:val="Rvps14"/>
              <w:spacing w:before="0" w:after="0"/>
              <w:jc w:val="center"/>
              <w:textAlignment w:val="baseline"/>
              <w:rPr>
                <w:color w:val="auto"/>
                <w:sz w:val="28"/>
                <w:szCs w:val="28"/>
                <w:lang w:val="en-US"/>
              </w:rPr>
            </w:pPr>
            <w:r>
              <w:rPr>
                <w:color w:val="auto"/>
                <w:sz w:val="28"/>
                <w:szCs w:val="28"/>
                <w:lang w:val="en-US"/>
              </w:rPr>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2.</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265"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rPr>
            </w:pPr>
            <w:r>
              <w:rPr>
                <w:color w:val="auto"/>
                <w:sz w:val="28"/>
                <w:szCs w:val="28"/>
                <w:lang w:val="en-US"/>
              </w:rPr>
              <w:t>0,</w:t>
            </w:r>
            <w:r>
              <w:rPr>
                <w:color w:val="auto"/>
                <w:sz w:val="28"/>
                <w:szCs w:val="28"/>
              </w:rPr>
              <w:t>0</w:t>
            </w:r>
          </w:p>
        </w:tc>
        <w:tc>
          <w:tcPr>
            <w:tcW w:w="2129" w:type="dxa"/>
            <w:gridSpan w:val="3"/>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3.</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Процедури експлуатації обладнання (експлуатаційні витрати - витратні матеріали)</w:t>
            </w:r>
          </w:p>
        </w:tc>
        <w:tc>
          <w:tcPr>
            <w:tcW w:w="2265"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2129" w:type="dxa"/>
            <w:gridSpan w:val="3"/>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4.</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Процедури обслуговування обладнання (технічне обслуговування)</w:t>
            </w:r>
          </w:p>
        </w:tc>
        <w:tc>
          <w:tcPr>
            <w:tcW w:w="2265"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2129" w:type="dxa"/>
            <w:gridSpan w:val="3"/>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5.</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rPr>
            </w:pPr>
            <w:r>
              <w:rPr>
                <w:rStyle w:val="Rvts11"/>
                <w:color w:val="auto"/>
                <w:sz w:val="28"/>
                <w:szCs w:val="28"/>
              </w:rPr>
              <w:t>Інші процедури (виконання робіт відновлення благоустрою)</w:t>
            </w:r>
          </w:p>
          <w:p>
            <w:pPr>
              <w:pStyle w:val="Rvps14"/>
              <w:spacing w:before="0" w:after="0"/>
              <w:ind w:left="141" w:hanging="0"/>
              <w:textAlignment w:val="baseline"/>
              <w:rPr>
                <w:color w:val="auto"/>
              </w:rPr>
            </w:pPr>
            <w:r>
              <w:rPr>
                <w:color w:val="auto"/>
              </w:rPr>
            </w:r>
          </w:p>
        </w:tc>
        <w:tc>
          <w:tcPr>
            <w:tcW w:w="2265"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 xml:space="preserve">            </w:t>
            </w:r>
          </w:p>
          <w:p>
            <w:pPr>
              <w:pStyle w:val="Rvps14"/>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rPr>
            </w:pPr>
            <w:r>
              <w:rPr>
                <w:color w:val="auto"/>
                <w:sz w:val="28"/>
                <w:szCs w:val="28"/>
              </w:rPr>
              <w:t>1200 грн</w:t>
            </w:r>
          </w:p>
          <w:p>
            <w:pPr>
              <w:pStyle w:val="Rvps14"/>
              <w:spacing w:before="0" w:after="0"/>
              <w:jc w:val="center"/>
              <w:textAlignment w:val="baseline"/>
              <w:rPr>
                <w:color w:val="auto"/>
                <w:sz w:val="28"/>
                <w:szCs w:val="28"/>
              </w:rPr>
            </w:pPr>
            <w:r>
              <w:rPr>
                <w:color w:val="auto"/>
                <w:sz w:val="28"/>
                <w:szCs w:val="28"/>
              </w:rPr>
            </w:r>
          </w:p>
        </w:tc>
        <w:tc>
          <w:tcPr>
            <w:tcW w:w="2129" w:type="dxa"/>
            <w:gridSpan w:val="3"/>
            <w:tcBorders>
              <w:top w:val="single" w:sz="4" w:space="0" w:color="000001"/>
              <w:left w:val="single" w:sz="4" w:space="0" w:color="000001"/>
              <w:bottom w:val="single" w:sz="4" w:space="0" w:color="000001"/>
            </w:tcBorders>
            <w:shd w:color="auto" w:fill="auto" w:val="clear"/>
          </w:tcPr>
          <w:p>
            <w:pPr>
              <w:pStyle w:val="Rvps12"/>
              <w:snapToGrid w:val="false"/>
              <w:spacing w:before="0" w:after="0"/>
              <w:jc w:val="center"/>
              <w:textAlignment w:val="baseline"/>
              <w:rPr>
                <w:color w:val="auto"/>
                <w:sz w:val="28"/>
                <w:szCs w:val="28"/>
              </w:rPr>
            </w:pPr>
            <w:r>
              <w:rPr>
                <w:color w:val="auto"/>
                <w:sz w:val="28"/>
                <w:szCs w:val="28"/>
              </w:rPr>
            </w:r>
          </w:p>
          <w:p>
            <w:pPr>
              <w:pStyle w:val="Rvps12"/>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t>0</w:t>
            </w:r>
          </w:p>
          <w:p>
            <w:pPr>
              <w:pStyle w:val="Rvps14"/>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rPr>
            </w:pPr>
            <w:r>
              <w:rPr>
                <w:color w:val="auto"/>
                <w:sz w:val="28"/>
                <w:szCs w:val="28"/>
              </w:rPr>
              <w:t>6000 грн</w:t>
            </w:r>
          </w:p>
        </w:tc>
      </w:tr>
      <w:tr>
        <w:trPr>
          <w:trHeight w:val="846"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6.</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Разом,гривень</w:t>
            </w:r>
          </w:p>
        </w:tc>
        <w:tc>
          <w:tcPr>
            <w:tcW w:w="2265" w:type="dxa"/>
            <w:tcBorders>
              <w:top w:val="single" w:sz="4" w:space="0" w:color="000001"/>
              <w:left w:val="single" w:sz="4" w:space="0" w:color="000001"/>
              <w:bottom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t>1500</w:t>
            </w:r>
          </w:p>
          <w:p>
            <w:pPr>
              <w:pStyle w:val="Rvps14"/>
              <w:spacing w:before="0" w:after="0"/>
              <w:jc w:val="center"/>
              <w:textAlignment w:val="baseline"/>
              <w:rPr>
                <w:color w:val="auto"/>
                <w:sz w:val="28"/>
                <w:szCs w:val="28"/>
              </w:rPr>
            </w:pPr>
            <w:r>
              <w:rPr>
                <w:color w:val="auto"/>
                <w:sz w:val="28"/>
                <w:szCs w:val="28"/>
              </w:rPr>
            </w:r>
          </w:p>
        </w:tc>
        <w:tc>
          <w:tcPr>
            <w:tcW w:w="2129" w:type="dxa"/>
            <w:gridSpan w:val="3"/>
            <w:tcBorders>
              <w:top w:val="single" w:sz="4" w:space="0" w:color="000001"/>
              <w:left w:val="single" w:sz="4" w:space="0" w:color="000001"/>
              <w:bottom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t>Х</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t>7500</w:t>
            </w:r>
          </w:p>
          <w:p>
            <w:pPr>
              <w:pStyle w:val="Rvps14"/>
              <w:snapToGrid w:val="false"/>
              <w:spacing w:before="0" w:after="0"/>
              <w:jc w:val="center"/>
              <w:textAlignment w:val="baseline"/>
              <w:rPr>
                <w:color w:val="auto"/>
                <w:sz w:val="28"/>
                <w:szCs w:val="28"/>
              </w:rPr>
            </w:pPr>
            <w:r>
              <w:rPr>
                <w:color w:val="auto"/>
                <w:sz w:val="28"/>
                <w:szCs w:val="28"/>
              </w:rPr>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7.</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Кількість суб’єктів господарювання, що повинні виконати вимоги регулювання, одиниць</w:t>
            </w:r>
          </w:p>
        </w:tc>
        <w:tc>
          <w:tcPr>
            <w:tcW w:w="6285"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t>15</w:t>
            </w:r>
          </w:p>
          <w:p>
            <w:pPr>
              <w:pStyle w:val="Rvps14"/>
              <w:snapToGrid w:val="false"/>
              <w:spacing w:before="0" w:after="0"/>
              <w:jc w:val="center"/>
              <w:textAlignment w:val="baseline"/>
              <w:rPr>
                <w:color w:val="auto"/>
                <w:sz w:val="28"/>
                <w:szCs w:val="28"/>
              </w:rPr>
            </w:pPr>
            <w:r>
              <w:rPr>
                <w:color w:val="auto"/>
                <w:sz w:val="28"/>
                <w:szCs w:val="28"/>
              </w:rPr>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8.</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color w:val="auto"/>
                <w:sz w:val="28"/>
                <w:szCs w:val="28"/>
              </w:rPr>
            </w:pPr>
            <w:r>
              <w:rPr>
                <w:color w:val="auto"/>
                <w:sz w:val="28"/>
                <w:szCs w:val="28"/>
              </w:rPr>
              <w:t>Сумарно, гривень</w:t>
            </w:r>
          </w:p>
        </w:tc>
        <w:tc>
          <w:tcPr>
            <w:tcW w:w="3180" w:type="dxa"/>
            <w:gridSpan w:val="3"/>
            <w:tcBorders>
              <w:top w:val="single" w:sz="4" w:space="0" w:color="000001"/>
              <w:left w:val="single" w:sz="4" w:space="0" w:color="000001"/>
              <w:bottom w:val="single" w:sz="4" w:space="0" w:color="000001"/>
            </w:tcBorders>
            <w:shd w:color="auto" w:fill="auto" w:val="clear"/>
          </w:tcPr>
          <w:p>
            <w:pPr>
              <w:pStyle w:val="Normal"/>
              <w:rPr>
                <w:color w:val="auto"/>
                <w:lang w:val="uk-UA"/>
              </w:rPr>
            </w:pPr>
            <w:r>
              <w:rPr>
                <w:color w:val="auto"/>
                <w:lang w:val="uk-UA"/>
              </w:rPr>
              <w:t>22 500</w:t>
            </w:r>
          </w:p>
        </w:tc>
        <w:tc>
          <w:tcPr>
            <w:tcW w:w="310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rPr>
                <w:color w:val="auto"/>
                <w:lang w:val="uk-UA"/>
              </w:rPr>
            </w:pPr>
            <w:r>
              <w:rPr>
                <w:color w:val="auto"/>
                <w:lang w:val="uk-UA"/>
              </w:rPr>
              <w:t>112  500</w:t>
            </w:r>
          </w:p>
        </w:tc>
      </w:tr>
      <w:tr>
        <w:trPr>
          <w:trHeight w:val="23" w:hRule="atLeast"/>
        </w:trPr>
        <w:tc>
          <w:tcPr>
            <w:tcW w:w="9585" w:type="dxa"/>
            <w:gridSpan w:val="7"/>
            <w:tcBorders>
              <w:top w:val="single" w:sz="4" w:space="0" w:color="000001"/>
              <w:left w:val="single" w:sz="4" w:space="0" w:color="000001"/>
              <w:bottom w:val="single" w:sz="4" w:space="0" w:color="000001"/>
              <w:right w:val="single" w:sz="4" w:space="0" w:color="000001"/>
            </w:tcBorders>
            <w:shd w:color="auto" w:fill="auto" w:val="clear"/>
          </w:tcPr>
          <w:p>
            <w:pPr>
              <w:pStyle w:val="Rvps2"/>
              <w:snapToGrid w:val="false"/>
              <w:spacing w:before="0" w:after="0"/>
              <w:jc w:val="both"/>
              <w:textAlignment w:val="baseline"/>
              <w:rPr>
                <w:color w:val="auto"/>
                <w:sz w:val="28"/>
                <w:szCs w:val="28"/>
              </w:rPr>
            </w:pPr>
            <w:r>
              <w:rPr>
                <w:color w:val="auto"/>
                <w:sz w:val="28"/>
                <w:szCs w:val="28"/>
              </w:rPr>
            </w:r>
          </w:p>
          <w:p>
            <w:pPr>
              <w:pStyle w:val="Rvps2"/>
              <w:spacing w:before="0" w:after="0"/>
              <w:ind w:firstLine="502"/>
              <w:jc w:val="both"/>
              <w:textAlignment w:val="baseline"/>
              <w:rPr>
                <w:color w:val="auto"/>
                <w:sz w:val="28"/>
                <w:szCs w:val="28"/>
              </w:rPr>
            </w:pPr>
            <w:r>
              <w:rPr>
                <w:color w:val="auto"/>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9.</w:t>
            </w:r>
          </w:p>
        </w:tc>
        <w:tc>
          <w:tcPr>
            <w:tcW w:w="2610" w:type="dxa"/>
            <w:tcBorders>
              <w:top w:val="single" w:sz="4" w:space="0" w:color="000001"/>
              <w:left w:val="single" w:sz="4" w:space="0" w:color="000001"/>
              <w:bottom w:val="single" w:sz="4" w:space="0" w:color="000001"/>
            </w:tcBorders>
            <w:shd w:color="auto" w:fill="auto" w:val="clear"/>
          </w:tcPr>
          <w:p>
            <w:pPr>
              <w:pStyle w:val="Normal"/>
              <w:spacing w:lineRule="auto" w:line="228"/>
              <w:ind w:left="34" w:right="56" w:hanging="34"/>
              <w:jc w:val="left"/>
              <w:rPr>
                <w:color w:val="auto"/>
              </w:rPr>
            </w:pPr>
            <w:r>
              <w:rPr>
                <w:rFonts w:cs="Times New Roman" w:ascii="Times New Roman" w:hAnsi="Times New Roman"/>
                <w:color w:val="auto"/>
                <w:sz w:val="28"/>
                <w:szCs w:val="28"/>
              </w:rPr>
              <w:t>Процедури отримання первинної інформації про вимоги регулювання</w:t>
            </w:r>
            <w:r>
              <w:rPr>
                <w:rFonts w:cs="Times New Roman" w:ascii="Times New Roman" w:hAnsi="Times New Roman"/>
                <w:i/>
                <w:iCs/>
                <w:color w:val="auto"/>
                <w:sz w:val="28"/>
                <w:szCs w:val="28"/>
                <w:lang w:eastAsia="en-US"/>
              </w:rPr>
              <w:t xml:space="preserve"> </w:t>
            </w:r>
          </w:p>
          <w:p>
            <w:pPr>
              <w:pStyle w:val="Normal"/>
              <w:widowControl/>
              <w:spacing w:before="114" w:after="114"/>
              <w:rPr>
                <w:rFonts w:ascii="Times New Roman" w:hAnsi="Times New Roman" w:cs="Times New Roman"/>
                <w:i/>
                <w:i/>
                <w:iCs/>
                <w:color w:val="auto"/>
                <w:lang w:val="uk-UA"/>
              </w:rPr>
            </w:pPr>
            <w:r>
              <w:rPr>
                <w:rFonts w:cs="Times New Roman" w:ascii="Times New Roman" w:hAnsi="Times New Roman"/>
                <w:i/>
                <w:iCs/>
                <w:color w:val="auto"/>
                <w:lang w:val="uk-UA"/>
              </w:rPr>
              <w:t>Формула:</w:t>
            </w:r>
          </w:p>
          <w:p>
            <w:pPr>
              <w:pStyle w:val="Normal"/>
              <w:widowControl/>
              <w:spacing w:before="57" w:after="57"/>
              <w:rPr>
                <w:rFonts w:ascii="Times New Roman" w:hAnsi="Times New Roman" w:cs="Times New Roman"/>
                <w:i/>
                <w:i/>
                <w:iCs/>
                <w:color w:val="auto"/>
                <w:lang w:val="uk-UA"/>
              </w:rPr>
            </w:pPr>
            <w:r>
              <w:rPr>
                <w:rFonts w:cs="Times New Roman" w:ascii="Times New Roman" w:hAnsi="Times New Roman"/>
                <w:i/>
                <w:iCs/>
                <w:color w:val="auto"/>
                <w:lang w:val="uk-UA"/>
              </w:rPr>
              <w:t xml:space="preserve">витрати часу на отримання інформації про регулювання, отримання необхідних форм та заявок (0,5 год) Х вартість часу суб’єкта малого підприємництва (61,5 грн./год*) </w:t>
            </w:r>
          </w:p>
          <w:p>
            <w:pPr>
              <w:pStyle w:val="Normal"/>
              <w:widowControl/>
              <w:spacing w:lineRule="auto" w:line="228" w:before="57" w:after="57"/>
              <w:ind w:left="34" w:right="56" w:hanging="34"/>
              <w:jc w:val="left"/>
              <w:rPr>
                <w:rFonts w:ascii="Times New Roman" w:hAnsi="Times New Roman" w:cs="Times New Roman"/>
                <w:i/>
                <w:i/>
                <w:iCs/>
                <w:color w:val="auto"/>
                <w:sz w:val="28"/>
                <w:szCs w:val="28"/>
                <w:lang w:val="uk-UA" w:eastAsia="en-US"/>
              </w:rPr>
            </w:pPr>
            <w:r>
              <w:rPr>
                <w:rFonts w:cs="Times New Roman" w:ascii="Times New Roman" w:hAnsi="Times New Roman"/>
                <w:i/>
                <w:iCs/>
                <w:color w:val="auto"/>
                <w:sz w:val="28"/>
                <w:szCs w:val="28"/>
                <w:lang w:val="uk-UA" w:eastAsia="en-US"/>
              </w:rPr>
              <w:t>(* середньомісячна заробітна плата штатних працівників по м.Мукачево за III квартал 2019 р. – 10 327 грн. поділити на середню тривалість робочого часу 176годин/місяць</w:t>
            </w:r>
          </w:p>
          <w:p>
            <w:pPr>
              <w:pStyle w:val="Rvps14"/>
              <w:spacing w:before="0" w:after="0"/>
              <w:ind w:left="141" w:right="144" w:hanging="0"/>
              <w:textAlignment w:val="baseline"/>
              <w:rPr>
                <w:i/>
                <w:i/>
                <w:iCs/>
                <w:color w:val="auto"/>
                <w:sz w:val="28"/>
                <w:szCs w:val="28"/>
              </w:rPr>
            </w:pPr>
            <w:r>
              <w:rPr>
                <w:i/>
                <w:iCs/>
                <w:color w:val="auto"/>
                <w:sz w:val="28"/>
                <w:szCs w:val="28"/>
              </w:rPr>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rPr>
            </w:pPr>
            <w:r>
              <w:rPr>
                <w:color w:val="auto"/>
                <w:sz w:val="28"/>
                <w:szCs w:val="28"/>
              </w:rPr>
              <w:t>29,34 грн</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napToGrid w:val="false"/>
              <w:spacing w:before="0" w:after="0"/>
              <w:jc w:val="center"/>
              <w:textAlignment w:val="baseline"/>
              <w:rPr>
                <w:color w:val="auto"/>
              </w:rPr>
            </w:pPr>
            <w:r>
              <w:rPr>
                <w:color w:val="auto"/>
                <w:sz w:val="28"/>
                <w:szCs w:val="28"/>
              </w:rPr>
              <w:t>29,34 грн</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rPr>
            </w:pPr>
            <w:r>
              <w:rPr>
                <w:color w:val="auto"/>
                <w:sz w:val="28"/>
                <w:szCs w:val="28"/>
              </w:rPr>
              <w:t>29,34грн</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10.</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color w:val="auto"/>
                <w:sz w:val="28"/>
                <w:szCs w:val="28"/>
              </w:rPr>
            </w:pPr>
            <w:r>
              <w:rPr>
                <w:color w:val="auto"/>
                <w:sz w:val="28"/>
                <w:szCs w:val="28"/>
              </w:rPr>
              <w:t xml:space="preserve">Процедури організації виконання вимог регулювання </w:t>
            </w:r>
          </w:p>
          <w:p>
            <w:pPr>
              <w:pStyle w:val="Rvps14"/>
              <w:spacing w:before="0" w:after="0"/>
              <w:ind w:left="141" w:right="144" w:hanging="0"/>
              <w:textAlignment w:val="baseline"/>
              <w:rPr>
                <w:color w:val="auto"/>
              </w:rPr>
            </w:pPr>
            <w:r>
              <w:rPr>
                <w:color w:val="auto"/>
              </w:rPr>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t xml:space="preserve">0,0 </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t xml:space="preserve">0,0 </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t xml:space="preserve">0,0 </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11.</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color w:val="auto"/>
                <w:sz w:val="28"/>
                <w:szCs w:val="28"/>
              </w:rPr>
            </w:pPr>
            <w:r>
              <w:rPr>
                <w:color w:val="auto"/>
                <w:sz w:val="28"/>
                <w:szCs w:val="28"/>
              </w:rPr>
              <w:t xml:space="preserve">Процедури офіційного звітування </w:t>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 xml:space="preserve">0,0 </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 xml:space="preserve">0,0 </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12.</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color w:val="auto"/>
                <w:sz w:val="28"/>
                <w:szCs w:val="28"/>
              </w:rPr>
            </w:pPr>
            <w:r>
              <w:rPr>
                <w:color w:val="auto"/>
                <w:sz w:val="28"/>
                <w:szCs w:val="28"/>
              </w:rPr>
              <w:t>Процедури щодо забезпечення процесу перевірок</w:t>
            </w:r>
          </w:p>
          <w:p>
            <w:pPr>
              <w:pStyle w:val="Rvps14"/>
              <w:spacing w:before="0" w:after="0"/>
              <w:ind w:left="141" w:right="144" w:hanging="0"/>
              <w:textAlignment w:val="baseline"/>
              <w:rPr>
                <w:i/>
                <w:i/>
                <w:color w:val="auto"/>
              </w:rPr>
            </w:pPr>
            <w:r>
              <w:rPr>
                <w:i/>
                <w:color w:val="auto"/>
              </w:rPr>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p>
            <w:pPr>
              <w:pStyle w:val="Rvps14"/>
              <w:spacing w:before="0" w:after="0"/>
              <w:jc w:val="center"/>
              <w:textAlignment w:val="baseline"/>
              <w:rPr>
                <w:color w:val="auto"/>
                <w:sz w:val="28"/>
                <w:szCs w:val="28"/>
              </w:rPr>
            </w:pPr>
            <w:r>
              <w:rPr>
                <w:color w:val="auto"/>
                <w:sz w:val="28"/>
                <w:szCs w:val="28"/>
              </w:rPr>
            </w:r>
          </w:p>
          <w:p>
            <w:pPr>
              <w:pStyle w:val="Rvps14"/>
              <w:spacing w:before="0" w:after="0"/>
              <w:jc w:val="center"/>
              <w:textAlignment w:val="baseline"/>
              <w:rPr>
                <w:color w:val="auto"/>
                <w:sz w:val="28"/>
                <w:szCs w:val="28"/>
              </w:rPr>
            </w:pPr>
            <w:r>
              <w:rPr>
                <w:color w:val="auto"/>
                <w:sz w:val="28"/>
                <w:szCs w:val="28"/>
              </w:rPr>
            </w:r>
          </w:p>
          <w:p>
            <w:pPr>
              <w:pStyle w:val="Rvps14"/>
              <w:spacing w:before="0" w:after="0"/>
              <w:textAlignment w:val="baseline"/>
              <w:rPr>
                <w:color w:val="auto"/>
                <w:sz w:val="28"/>
                <w:szCs w:val="28"/>
              </w:rPr>
            </w:pPr>
            <w:r>
              <w:rPr>
                <w:color w:val="auto"/>
                <w:sz w:val="28"/>
                <w:szCs w:val="28"/>
              </w:rPr>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13.</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color w:val="auto"/>
                <w:sz w:val="28"/>
                <w:szCs w:val="28"/>
              </w:rPr>
            </w:pPr>
            <w:r>
              <w:rPr>
                <w:color w:val="auto"/>
                <w:sz w:val="28"/>
                <w:szCs w:val="28"/>
              </w:rPr>
              <w:t>Інші процедури (уточнити)</w:t>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0,0</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14.</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color w:val="auto"/>
                <w:sz w:val="28"/>
                <w:szCs w:val="28"/>
              </w:rPr>
            </w:pPr>
            <w:r>
              <w:rPr>
                <w:color w:val="auto"/>
                <w:sz w:val="28"/>
                <w:szCs w:val="28"/>
              </w:rPr>
              <w:t>Разом, гривень.</w:t>
            </w:r>
          </w:p>
          <w:p>
            <w:pPr>
              <w:pStyle w:val="Rvps14"/>
              <w:spacing w:before="0" w:after="0"/>
              <w:ind w:left="141" w:right="144" w:hanging="0"/>
              <w:jc w:val="both"/>
              <w:textAlignment w:val="baseline"/>
              <w:rPr>
                <w:color w:val="auto"/>
              </w:rPr>
            </w:pPr>
            <w:r>
              <w:rPr>
                <w:rStyle w:val="Rvts11"/>
                <w:iCs/>
                <w:color w:val="auto"/>
                <w:sz w:val="28"/>
                <w:szCs w:val="28"/>
              </w:rPr>
              <w:t>Формула:</w:t>
            </w:r>
          </w:p>
          <w:p>
            <w:pPr>
              <w:pStyle w:val="Rvps14"/>
              <w:spacing w:before="0" w:after="0"/>
              <w:ind w:left="141" w:right="144" w:hanging="0"/>
              <w:jc w:val="both"/>
              <w:textAlignment w:val="baseline"/>
              <w:rPr>
                <w:color w:val="auto"/>
              </w:rPr>
            </w:pPr>
            <w:r>
              <w:rPr>
                <w:rStyle w:val="Rvts11"/>
                <w:iCs/>
                <w:color w:val="auto"/>
                <w:sz w:val="28"/>
                <w:szCs w:val="28"/>
              </w:rPr>
              <w:t>(сума рядків 9 + 10 + 11 + 12 + 13)</w:t>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rPr>
            </w:pPr>
            <w:r>
              <w:rPr>
                <w:color w:val="auto"/>
                <w:sz w:val="28"/>
                <w:szCs w:val="28"/>
              </w:rPr>
              <w:t>29,34 грн</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rPr>
            </w:pPr>
            <w:r>
              <w:rPr>
                <w:color w:val="auto"/>
                <w:sz w:val="28"/>
                <w:szCs w:val="28"/>
              </w:rPr>
              <w:t>29,34грн</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rPr>
            </w:pPr>
            <w:r>
              <w:rPr>
                <w:color w:val="auto"/>
                <w:sz w:val="28"/>
                <w:szCs w:val="28"/>
              </w:rPr>
              <w:t>29,34грн</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15.</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color w:val="auto"/>
                <w:sz w:val="28"/>
                <w:szCs w:val="28"/>
              </w:rPr>
            </w:pPr>
            <w:r>
              <w:rPr>
                <w:color w:val="auto"/>
                <w:sz w:val="28"/>
                <w:szCs w:val="28"/>
              </w:rPr>
              <w:t>Кількість суб’єктів малого підприємництва, що повинні виконати вимоги регулювання, одиниць</w:t>
            </w:r>
          </w:p>
        </w:tc>
        <w:tc>
          <w:tcPr>
            <w:tcW w:w="6285"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sz w:val="28"/>
                <w:szCs w:val="28"/>
              </w:rPr>
            </w:pPr>
            <w:r>
              <w:rPr>
                <w:color w:val="auto"/>
                <w:sz w:val="28"/>
                <w:szCs w:val="28"/>
              </w:rPr>
              <w:t>15</w:t>
            </w:r>
          </w:p>
        </w:tc>
      </w:tr>
      <w:tr>
        <w:trPr>
          <w:trHeight w:val="23" w:hRule="atLeast"/>
        </w:trPr>
        <w:tc>
          <w:tcPr>
            <w:tcW w:w="690"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16.</w:t>
            </w:r>
          </w:p>
        </w:tc>
        <w:tc>
          <w:tcPr>
            <w:tcW w:w="2610"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color w:val="auto"/>
                <w:sz w:val="28"/>
                <w:szCs w:val="28"/>
              </w:rPr>
            </w:pPr>
            <w:r>
              <w:rPr>
                <w:color w:val="auto"/>
                <w:sz w:val="28"/>
                <w:szCs w:val="28"/>
              </w:rPr>
              <w:t>Сумарно, гривень</w:t>
            </w:r>
          </w:p>
        </w:tc>
        <w:tc>
          <w:tcPr>
            <w:tcW w:w="3089"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sz w:val="28"/>
                <w:szCs w:val="28"/>
              </w:rPr>
            </w:pPr>
            <w:bookmarkStart w:id="25" w:name="__DdeLink__4516_4033825089"/>
            <w:r>
              <w:rPr>
                <w:color w:val="auto"/>
                <w:sz w:val="28"/>
                <w:szCs w:val="28"/>
              </w:rPr>
              <w:t>440</w:t>
            </w:r>
            <w:bookmarkEnd w:id="25"/>
            <w:r>
              <w:rPr>
                <w:color w:val="auto"/>
                <w:sz w:val="28"/>
                <w:szCs w:val="28"/>
              </w:rPr>
              <w:t>грн</w:t>
            </w:r>
          </w:p>
        </w:tc>
        <w:tc>
          <w:tcPr>
            <w:tcW w:w="1305"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color w:val="auto"/>
              </w:rPr>
            </w:pPr>
            <w:r>
              <w:rPr>
                <w:color w:val="auto"/>
                <w:sz w:val="28"/>
                <w:szCs w:val="28"/>
              </w:rPr>
              <w:t>440 грн</w:t>
            </w:r>
          </w:p>
        </w:tc>
        <w:tc>
          <w:tcPr>
            <w:tcW w:w="1891"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color w:val="auto"/>
              </w:rPr>
            </w:pPr>
            <w:r>
              <w:rPr>
                <w:color w:val="auto"/>
                <w:sz w:val="28"/>
                <w:szCs w:val="28"/>
              </w:rPr>
              <w:t>440грн</w:t>
            </w:r>
          </w:p>
        </w:tc>
      </w:tr>
    </w:tbl>
    <w:p>
      <w:pPr>
        <w:pStyle w:val="Rvps3"/>
        <w:shd w:val="clear" w:color="auto" w:fill="FFFFFF"/>
        <w:spacing w:before="0" w:after="0"/>
        <w:ind w:right="502" w:hanging="0"/>
        <w:jc w:val="center"/>
        <w:textAlignment w:val="baseline"/>
        <w:rPr>
          <w:b/>
          <w:b/>
          <w:bCs/>
          <w:color w:val="auto"/>
          <w:sz w:val="28"/>
          <w:szCs w:val="28"/>
          <w:lang w:val="ru-RU"/>
        </w:rPr>
      </w:pPr>
      <w:r>
        <w:rPr>
          <w:b/>
          <w:bCs/>
          <w:color w:val="auto"/>
          <w:sz w:val="28"/>
          <w:szCs w:val="28"/>
          <w:lang w:val="ru-RU"/>
        </w:rPr>
      </w:r>
    </w:p>
    <w:p>
      <w:pPr>
        <w:pStyle w:val="Rvps2"/>
        <w:shd w:val="clear" w:color="auto" w:fill="FFFFFF"/>
        <w:spacing w:before="120" w:after="280"/>
        <w:ind w:firstLine="709"/>
        <w:jc w:val="both"/>
        <w:textAlignment w:val="baseline"/>
        <w:rPr>
          <w:color w:val="auto"/>
          <w:sz w:val="28"/>
          <w:szCs w:val="28"/>
          <w:lang w:val="ru-RU" w:eastAsia="ru-RU"/>
        </w:rPr>
      </w:pPr>
      <w:r>
        <w:rPr>
          <w:color w:val="auto"/>
          <w:sz w:val="28"/>
          <w:szCs w:val="28"/>
          <w:lang w:val="ru-RU" w:eastAsia="ru-RU"/>
        </w:rPr>
        <w:t>Бюджетні витрати на адміністрування регулювання суб’єктів малого підприємництва.</w:t>
      </w:r>
    </w:p>
    <w:p>
      <w:pPr>
        <w:pStyle w:val="Rvps2"/>
        <w:shd w:val="clear" w:color="auto" w:fill="FFFFFF"/>
        <w:spacing w:before="120" w:after="280"/>
        <w:ind w:firstLine="709"/>
        <w:jc w:val="both"/>
        <w:textAlignment w:val="baseline"/>
        <w:rPr>
          <w:color w:val="auto"/>
          <w:sz w:val="28"/>
          <w:szCs w:val="28"/>
          <w:lang w:val="ru-RU" w:eastAsia="ru-RU"/>
        </w:rPr>
      </w:pPr>
      <w:r>
        <w:rPr>
          <w:color w:val="auto"/>
          <w:sz w:val="28"/>
          <w:szCs w:val="28"/>
          <w:lang w:val="ru-RU"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Rvps2"/>
        <w:shd w:val="clear" w:color="auto" w:fill="FFFFFF"/>
        <w:spacing w:before="120" w:after="0"/>
        <w:ind w:firstLine="709"/>
        <w:jc w:val="both"/>
        <w:textAlignment w:val="baseline"/>
        <w:rPr/>
      </w:pPr>
      <w:r>
        <w:rPr>
          <w:color w:val="auto"/>
          <w:sz w:val="28"/>
          <w:szCs w:val="28"/>
          <w:lang w:val="ru-RU" w:eastAsia="ru-RU"/>
        </w:rPr>
        <w:t>Державний орган, для якого здійснюється розрахунок вартості адміністрування регулювання: Управління міського господарства  Мукачівської міської ради.</w:t>
      </w:r>
    </w:p>
    <w:tbl>
      <w:tblPr>
        <w:tblW w:w="9638" w:type="dxa"/>
        <w:jc w:val="left"/>
        <w:tblInd w:w="0" w:type="dxa"/>
        <w:tblCellMar>
          <w:top w:w="55" w:type="dxa"/>
          <w:left w:w="54" w:type="dxa"/>
          <w:bottom w:w="55" w:type="dxa"/>
          <w:right w:w="55" w:type="dxa"/>
        </w:tblCellMar>
        <w:tblLook w:firstRow="1" w:noVBand="1" w:lastRow="0" w:firstColumn="1" w:lastColumn="0" w:noHBand="0" w:val="04a0"/>
      </w:tblPr>
      <w:tblGrid>
        <w:gridCol w:w="1815"/>
        <w:gridCol w:w="1163"/>
        <w:gridCol w:w="1499"/>
        <w:gridCol w:w="1309"/>
        <w:gridCol w:w="2103"/>
        <w:gridCol w:w="1748"/>
      </w:tblGrid>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Планові витрати часу на процедуру</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Вартість часу співробітника органу державної влади відповідної категорії (заробітна плата)</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Оцінка кількості процедур за рік, що припадають на одного суб’єкта</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Оцінка кількості  суб’єктів, що підпадають під дію процедури регулювання</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Витрати на адміністрування регулювання* (за рік), гривень</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1. Облік суб’єкта господарювання, що перебуває у сфері регулювання</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0,5 год.</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80,0 грн</w:t>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1</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15</w:t>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ind w:right="170" w:hanging="0"/>
              <w:rPr/>
            </w:pPr>
            <w:r>
              <w:rPr>
                <w:rFonts w:cs="Times New Roman" w:ascii="Times New Roman" w:hAnsi="Times New Roman"/>
                <w:color w:val="auto"/>
                <w:sz w:val="28"/>
                <w:szCs w:val="28"/>
                <w:lang w:val="uk-UA"/>
              </w:rPr>
              <w:t>600 грн</w:t>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2. Поточний контроль за суб’єктом господарювання, що перебуває у сфері регулювання, у тому числі:</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камеральні</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499"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309"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2103"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виїзні</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499"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309"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2103" w:type="dxa"/>
            <w:tcBorders>
              <w:top w:val="single" w:sz="2" w:space="0" w:color="000000"/>
              <w:left w:val="single" w:sz="2" w:space="0" w:color="000000"/>
              <w:bottom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snapToGrid w:val="false"/>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3. Підготовка, затвердження та опрацювання одного окремого акта про порушення вимог регулювання</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4. Реалізація одного окремого рішення щодо порушення вимог регулювання</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5. Оскарження одного окремого рішення суб’єктами господарювання</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6. Підготовка звітності за результатами регулювання</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jc w:val="right"/>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7. Інші адміністративні процедури (уточнити): </w:t>
              <w:br/>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widowControl/>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Разом за рік</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600 грн</w:t>
            </w:r>
          </w:p>
        </w:tc>
      </w:tr>
      <w:tr>
        <w:trPr/>
        <w:tc>
          <w:tcPr>
            <w:tcW w:w="1815"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Сумарно за п’ять років</w:t>
            </w:r>
          </w:p>
        </w:tc>
        <w:tc>
          <w:tcPr>
            <w:tcW w:w="116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49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309"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2103" w:type="dxa"/>
            <w:tcBorders>
              <w:top w:val="single" w:sz="2" w:space="0" w:color="000000"/>
              <w:left w:val="single" w:sz="2" w:space="0" w:color="000000"/>
              <w:bottom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0</w:t>
            </w:r>
          </w:p>
        </w:tc>
        <w:tc>
          <w:tcPr>
            <w:tcW w:w="174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rPr/>
            </w:pPr>
            <w:r>
              <w:rPr>
                <w:rFonts w:cs="Times New Roman" w:ascii="Times New Roman" w:hAnsi="Times New Roman"/>
                <w:color w:val="auto"/>
                <w:sz w:val="28"/>
                <w:szCs w:val="28"/>
                <w:lang w:val="uk-UA"/>
              </w:rPr>
              <w:t>3000 грн</w:t>
            </w:r>
          </w:p>
        </w:tc>
      </w:tr>
    </w:tbl>
    <w:p>
      <w:pPr>
        <w:pStyle w:val="Normal"/>
        <w:widowControl/>
        <w:shd w:val="clear" w:color="auto" w:fill="FFFFFF"/>
        <w:spacing w:before="120" w:after="0"/>
        <w:ind w:firstLine="709"/>
        <w:jc w:val="both"/>
        <w:textAlignment w:val="baseline"/>
        <w:rPr/>
      </w:pPr>
      <w:r>
        <w:rPr>
          <w:rFonts w:cs="Times New Roman" w:ascii="Times New Roman" w:hAnsi="Times New Roman"/>
          <w:color w:val="auto"/>
          <w:sz w:val="22"/>
          <w:szCs w:val="22"/>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Rvps2"/>
        <w:shd w:val="clear" w:color="auto" w:fill="FFFFFF"/>
        <w:spacing w:before="120" w:after="0"/>
        <w:ind w:firstLine="709"/>
        <w:jc w:val="both"/>
        <w:textAlignment w:val="baseline"/>
        <w:rPr>
          <w:color w:val="auto"/>
          <w:sz w:val="28"/>
          <w:szCs w:val="28"/>
        </w:rPr>
      </w:pPr>
      <w:r>
        <w:rPr>
          <w:color w:val="auto"/>
          <w:sz w:val="28"/>
          <w:szCs w:val="28"/>
        </w:rPr>
        <w:t>4. Розрахунок сумарних витрат суб’єктів малого підприємництва, що виникають на виконання вимог регулювання</w:t>
      </w:r>
    </w:p>
    <w:p>
      <w:pPr>
        <w:pStyle w:val="Rvps2"/>
        <w:shd w:val="clear" w:color="auto" w:fill="FFFFFF"/>
        <w:spacing w:before="120" w:after="0"/>
        <w:ind w:firstLine="709"/>
        <w:jc w:val="both"/>
        <w:textAlignment w:val="baseline"/>
        <w:rPr>
          <w:color w:val="auto"/>
          <w:sz w:val="28"/>
          <w:szCs w:val="28"/>
        </w:rPr>
      </w:pPr>
      <w:r>
        <w:rPr>
          <w:color w:val="auto"/>
          <w:sz w:val="28"/>
          <w:szCs w:val="28"/>
        </w:rPr>
      </w:r>
    </w:p>
    <w:tbl>
      <w:tblPr>
        <w:tblW w:w="9645" w:type="dxa"/>
        <w:jc w:val="left"/>
        <w:tblInd w:w="24" w:type="dxa"/>
        <w:tblCellMar>
          <w:top w:w="0" w:type="dxa"/>
          <w:left w:w="5" w:type="dxa"/>
          <w:bottom w:w="0" w:type="dxa"/>
          <w:right w:w="0" w:type="dxa"/>
        </w:tblCellMar>
        <w:tblLook w:firstRow="1" w:noVBand="1" w:lastRow="0" w:firstColumn="1" w:lastColumn="0" w:noHBand="0" w:val="04a0"/>
      </w:tblPr>
      <w:tblGrid>
        <w:gridCol w:w="869"/>
        <w:gridCol w:w="3945"/>
        <w:gridCol w:w="2415"/>
        <w:gridCol w:w="2415"/>
      </w:tblGrid>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rPr>
            </w:pPr>
            <w:r>
              <w:rPr>
                <w:color w:val="auto"/>
                <w:sz w:val="28"/>
                <w:szCs w:val="28"/>
              </w:rPr>
              <w:t xml:space="preserve">№ </w:t>
            </w:r>
            <w:r>
              <w:rPr>
                <w:color w:val="auto"/>
                <w:sz w:val="28"/>
                <w:szCs w:val="28"/>
              </w:rPr>
              <w:t>з/п</w:t>
            </w:r>
          </w:p>
        </w:tc>
        <w:tc>
          <w:tcPr>
            <w:tcW w:w="394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Показник</w:t>
            </w:r>
          </w:p>
        </w:tc>
        <w:tc>
          <w:tcPr>
            <w:tcW w:w="2415"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Перший рік регулювання (стартовий)</w:t>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За п’ять років</w:t>
            </w:r>
          </w:p>
        </w:tc>
      </w:tr>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1.</w:t>
            </w:r>
          </w:p>
        </w:tc>
        <w:tc>
          <w:tcPr>
            <w:tcW w:w="3945"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color w:val="auto"/>
                <w:sz w:val="28"/>
                <w:szCs w:val="28"/>
              </w:rPr>
            </w:pPr>
            <w:r>
              <w:rPr>
                <w:color w:val="auto"/>
                <w:sz w:val="28"/>
                <w:szCs w:val="28"/>
              </w:rPr>
              <w:t>Оцінка “прямих” витрат суб’єктів малого підприємництва на виконання регулювання</w:t>
            </w:r>
          </w:p>
        </w:tc>
        <w:tc>
          <w:tcPr>
            <w:tcW w:w="2415"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jc w:val="center"/>
              <w:textAlignment w:val="baseline"/>
              <w:rPr>
                <w:color w:val="auto"/>
                <w:sz w:val="28"/>
                <w:szCs w:val="28"/>
              </w:rPr>
            </w:pPr>
            <w:r>
              <w:rPr>
                <w:color w:val="auto"/>
                <w:sz w:val="28"/>
                <w:szCs w:val="28"/>
              </w:rPr>
              <w:t>1500 грн</w:t>
            </w:r>
          </w:p>
          <w:p>
            <w:pPr>
              <w:pStyle w:val="Rvps14"/>
              <w:spacing w:before="0" w:after="0"/>
              <w:ind w:left="133" w:right="140" w:hanging="0"/>
              <w:jc w:val="center"/>
              <w:textAlignment w:val="baseline"/>
              <w:rPr>
                <w:color w:val="auto"/>
                <w:sz w:val="28"/>
                <w:szCs w:val="28"/>
              </w:rPr>
            </w:pPr>
            <w:r>
              <w:rPr>
                <w:color w:val="auto"/>
                <w:sz w:val="28"/>
                <w:szCs w:val="28"/>
              </w:rPr>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jc w:val="center"/>
              <w:textAlignment w:val="baseline"/>
              <w:rPr>
                <w:color w:val="auto"/>
              </w:rPr>
            </w:pPr>
            <w:r>
              <w:rPr>
                <w:color w:val="auto"/>
                <w:sz w:val="28"/>
                <w:szCs w:val="28"/>
              </w:rPr>
              <w:t xml:space="preserve"> </w:t>
            </w:r>
            <w:r>
              <w:rPr>
                <w:color w:val="auto"/>
                <w:sz w:val="28"/>
                <w:szCs w:val="28"/>
              </w:rPr>
              <w:t>7500 грн</w:t>
            </w:r>
          </w:p>
        </w:tc>
      </w:tr>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2.</w:t>
            </w:r>
          </w:p>
        </w:tc>
        <w:tc>
          <w:tcPr>
            <w:tcW w:w="3945"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color w:val="auto"/>
                <w:sz w:val="28"/>
                <w:szCs w:val="28"/>
              </w:rPr>
            </w:pPr>
            <w:r>
              <w:rPr>
                <w:color w:val="auto"/>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15"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jc w:val="center"/>
              <w:textAlignment w:val="baseline"/>
              <w:rPr>
                <w:color w:val="auto"/>
              </w:rPr>
            </w:pPr>
            <w:r>
              <w:rPr>
                <w:color w:val="auto"/>
                <w:sz w:val="28"/>
                <w:szCs w:val="28"/>
              </w:rPr>
              <w:t>440 грн</w:t>
            </w:r>
          </w:p>
          <w:p>
            <w:pPr>
              <w:pStyle w:val="Rvps14"/>
              <w:spacing w:before="0" w:after="0"/>
              <w:ind w:left="133" w:right="140" w:hanging="0"/>
              <w:textAlignment w:val="baseline"/>
              <w:rPr>
                <w:color w:val="auto"/>
                <w:sz w:val="28"/>
                <w:szCs w:val="28"/>
              </w:rPr>
            </w:pPr>
            <w:r>
              <w:rPr>
                <w:color w:val="auto"/>
                <w:sz w:val="28"/>
                <w:szCs w:val="28"/>
              </w:rPr>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color w:val="auto"/>
              </w:rPr>
            </w:pPr>
            <w:r>
              <w:rPr>
                <w:color w:val="auto"/>
                <w:sz w:val="28"/>
                <w:szCs w:val="28"/>
              </w:rPr>
              <w:t xml:space="preserve">      </w:t>
            </w:r>
            <w:r>
              <w:rPr>
                <w:color w:val="auto"/>
                <w:sz w:val="28"/>
                <w:szCs w:val="28"/>
              </w:rPr>
              <w:t>2200грн</w:t>
            </w:r>
          </w:p>
          <w:p>
            <w:pPr>
              <w:pStyle w:val="Rvps14"/>
              <w:spacing w:before="0" w:after="0"/>
              <w:ind w:left="133" w:right="140" w:hanging="0"/>
              <w:textAlignment w:val="baseline"/>
              <w:rPr>
                <w:color w:val="auto"/>
                <w:sz w:val="28"/>
                <w:szCs w:val="28"/>
              </w:rPr>
            </w:pPr>
            <w:r>
              <w:rPr>
                <w:color w:val="auto"/>
                <w:sz w:val="28"/>
                <w:szCs w:val="28"/>
              </w:rPr>
            </w:r>
          </w:p>
        </w:tc>
      </w:tr>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3.</w:t>
            </w:r>
          </w:p>
        </w:tc>
        <w:tc>
          <w:tcPr>
            <w:tcW w:w="3945"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color w:val="auto"/>
                <w:sz w:val="28"/>
                <w:szCs w:val="28"/>
              </w:rPr>
            </w:pPr>
            <w:r>
              <w:rPr>
                <w:color w:val="auto"/>
                <w:sz w:val="28"/>
                <w:szCs w:val="28"/>
              </w:rPr>
              <w:t>Сумарні витрати малого підприємництва на виконання запланованого  регулювання</w:t>
            </w:r>
          </w:p>
        </w:tc>
        <w:tc>
          <w:tcPr>
            <w:tcW w:w="2415"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color w:val="auto"/>
              </w:rPr>
            </w:pPr>
            <w:r>
              <w:rPr>
                <w:color w:val="auto"/>
                <w:sz w:val="28"/>
                <w:szCs w:val="28"/>
              </w:rPr>
              <w:t xml:space="preserve">     </w:t>
            </w:r>
            <w:r>
              <w:rPr>
                <w:color w:val="auto"/>
                <w:sz w:val="28"/>
                <w:szCs w:val="28"/>
              </w:rPr>
              <w:t>1900грн</w:t>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right="140" w:hanging="0"/>
              <w:textAlignment w:val="baseline"/>
              <w:rPr>
                <w:color w:val="auto"/>
              </w:rPr>
            </w:pPr>
            <w:r>
              <w:rPr>
                <w:color w:val="auto"/>
                <w:sz w:val="28"/>
                <w:szCs w:val="28"/>
              </w:rPr>
              <w:t xml:space="preserve">       </w:t>
            </w:r>
            <w:r>
              <w:rPr>
                <w:color w:val="auto"/>
                <w:sz w:val="28"/>
                <w:szCs w:val="28"/>
              </w:rPr>
              <w:t>9500 грн</w:t>
            </w:r>
          </w:p>
          <w:p>
            <w:pPr>
              <w:pStyle w:val="Rvps14"/>
              <w:spacing w:before="0" w:after="0"/>
              <w:ind w:right="140" w:hanging="0"/>
              <w:textAlignment w:val="baseline"/>
              <w:rPr>
                <w:color w:val="auto"/>
                <w:sz w:val="28"/>
                <w:szCs w:val="28"/>
              </w:rPr>
            </w:pPr>
            <w:r>
              <w:rPr>
                <w:color w:val="auto"/>
                <w:sz w:val="28"/>
                <w:szCs w:val="28"/>
              </w:rPr>
            </w:r>
          </w:p>
        </w:tc>
      </w:tr>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4.</w:t>
            </w:r>
          </w:p>
        </w:tc>
        <w:tc>
          <w:tcPr>
            <w:tcW w:w="3945"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color w:val="auto"/>
                <w:sz w:val="28"/>
                <w:szCs w:val="28"/>
              </w:rPr>
            </w:pPr>
            <w:r>
              <w:rPr>
                <w:color w:val="auto"/>
                <w:sz w:val="28"/>
                <w:szCs w:val="28"/>
              </w:rPr>
              <w:t>Бюджетні витрати  на адміністрування регулювання суб’єктів малого підприємництва</w:t>
            </w:r>
          </w:p>
        </w:tc>
        <w:tc>
          <w:tcPr>
            <w:tcW w:w="2415" w:type="dxa"/>
            <w:tcBorders>
              <w:top w:val="single" w:sz="4" w:space="0" w:color="000001"/>
              <w:left w:val="single" w:sz="4" w:space="0" w:color="000001"/>
              <w:bottom w:val="single" w:sz="4" w:space="0" w:color="000001"/>
            </w:tcBorders>
            <w:shd w:color="auto" w:fill="auto" w:val="clear"/>
          </w:tcPr>
          <w:p>
            <w:pPr>
              <w:pStyle w:val="Normal"/>
              <w:widowControl/>
              <w:textAlignment w:val="baseline"/>
              <w:rPr>
                <w:color w:val="auto"/>
              </w:rPr>
            </w:pPr>
            <w:r>
              <w:rPr>
                <w:rFonts w:cs="Times New Roman" w:ascii="Times New Roman" w:hAnsi="Times New Roman"/>
                <w:color w:val="auto"/>
                <w:sz w:val="28"/>
                <w:szCs w:val="28"/>
                <w:lang w:val="uk-UA"/>
              </w:rPr>
              <w:t>600 грн</w:t>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textAlignment w:val="baseline"/>
              <w:rPr>
                <w:color w:val="auto"/>
              </w:rPr>
            </w:pPr>
            <w:r>
              <w:rPr>
                <w:color w:val="auto"/>
                <w:sz w:val="28"/>
                <w:szCs w:val="28"/>
              </w:rPr>
              <w:t xml:space="preserve">       </w:t>
            </w:r>
            <w:r>
              <w:rPr>
                <w:color w:val="auto"/>
                <w:sz w:val="28"/>
                <w:szCs w:val="28"/>
              </w:rPr>
              <w:t>3000 грн</w:t>
            </w:r>
          </w:p>
          <w:p>
            <w:pPr>
              <w:pStyle w:val="Rvps14"/>
              <w:spacing w:before="0" w:after="0"/>
              <w:textAlignment w:val="baseline"/>
              <w:rPr>
                <w:color w:val="auto"/>
                <w:sz w:val="28"/>
                <w:szCs w:val="28"/>
              </w:rPr>
            </w:pPr>
            <w:r>
              <w:rPr>
                <w:color w:val="auto"/>
                <w:sz w:val="28"/>
                <w:szCs w:val="28"/>
              </w:rPr>
            </w:r>
          </w:p>
        </w:tc>
      </w:tr>
      <w:tr>
        <w:trPr/>
        <w:tc>
          <w:tcPr>
            <w:tcW w:w="8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color w:val="auto"/>
                <w:sz w:val="28"/>
                <w:szCs w:val="28"/>
              </w:rPr>
            </w:pPr>
            <w:r>
              <w:rPr>
                <w:color w:val="auto"/>
                <w:sz w:val="28"/>
                <w:szCs w:val="28"/>
              </w:rPr>
              <w:t>5.</w:t>
            </w:r>
          </w:p>
        </w:tc>
        <w:tc>
          <w:tcPr>
            <w:tcW w:w="3945"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color w:val="auto"/>
                <w:sz w:val="28"/>
                <w:szCs w:val="28"/>
              </w:rPr>
            </w:pPr>
            <w:r>
              <w:rPr>
                <w:color w:val="auto"/>
                <w:sz w:val="28"/>
                <w:szCs w:val="28"/>
              </w:rPr>
              <w:t>Сумарні витрати на виконання запланованого регулювання</w:t>
            </w:r>
          </w:p>
        </w:tc>
        <w:tc>
          <w:tcPr>
            <w:tcW w:w="2415"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color w:val="auto"/>
              </w:rPr>
            </w:pPr>
            <w:r>
              <w:rPr>
                <w:color w:val="auto"/>
                <w:sz w:val="28"/>
                <w:szCs w:val="28"/>
              </w:rPr>
              <w:t xml:space="preserve">        </w:t>
            </w:r>
            <w:r>
              <w:rPr>
                <w:color w:val="auto"/>
                <w:sz w:val="28"/>
                <w:szCs w:val="28"/>
              </w:rPr>
              <w:t>2 980 грн</w:t>
            </w:r>
          </w:p>
        </w:tc>
        <w:tc>
          <w:tcPr>
            <w:tcW w:w="2415"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color w:val="auto"/>
              </w:rPr>
            </w:pPr>
            <w:r>
              <w:rPr>
                <w:color w:val="auto"/>
                <w:sz w:val="28"/>
                <w:szCs w:val="28"/>
              </w:rPr>
              <w:t xml:space="preserve">     </w:t>
            </w:r>
            <w:r>
              <w:rPr>
                <w:color w:val="auto"/>
                <w:sz w:val="28"/>
                <w:szCs w:val="28"/>
              </w:rPr>
              <w:t>14 900 грн</w:t>
            </w:r>
          </w:p>
        </w:tc>
      </w:tr>
    </w:tbl>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5. Розроблення коригуючих (пом’якшувальних) заходів для малого підприємництва щодо запропонованого регулювання.</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t>Коригуючі (пом’якшувальні) заходи для суб’єктів малого підприємництва не передбачаються.</w:t>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jc w:val="both"/>
        <w:rPr>
          <w:rFonts w:ascii="Times New Roman" w:hAnsi="Times New Roman" w:cs="Times New Roman"/>
          <w:color w:val="auto"/>
          <w:sz w:val="28"/>
          <w:szCs w:val="28"/>
          <w:lang w:val="uk-UA"/>
        </w:rPr>
      </w:pPr>
      <w:r>
        <w:rPr>
          <w:rFonts w:cs="Times New Roman" w:ascii="Times New Roman" w:hAnsi="Times New Roman"/>
          <w:color w:val="auto"/>
          <w:sz w:val="28"/>
          <w:szCs w:val="28"/>
          <w:lang w:val="uk-UA"/>
        </w:rPr>
      </w:r>
    </w:p>
    <w:p>
      <w:pPr>
        <w:pStyle w:val="Normal"/>
        <w:suppressAutoHyphens w:val="true"/>
        <w:jc w:val="both"/>
        <w:rPr>
          <w:rFonts w:ascii="Times New Roman" w:hAnsi="Times New Roman" w:cs="Times New Roman"/>
          <w:b/>
          <w:b/>
          <w:bCs/>
          <w:color w:val="auto"/>
          <w:sz w:val="28"/>
          <w:szCs w:val="28"/>
          <w:lang w:val="uk-UA"/>
        </w:rPr>
      </w:pPr>
      <w:r>
        <w:rPr>
          <w:rFonts w:eastAsia="Lucida Sans Unicode" w:cs="Mangal" w:ascii="Times New Roman" w:hAnsi="Times New Roman"/>
          <w:b/>
          <w:bCs/>
          <w:color w:val="auto"/>
          <w:sz w:val="28"/>
          <w:szCs w:val="28"/>
          <w:lang w:val="uk-UA" w:eastAsia="zh-CN" w:bidi="hi-IN"/>
        </w:rPr>
        <w:t xml:space="preserve">Начальник УМГ </w:t>
        <w:tab/>
        <w:tab/>
        <w:tab/>
        <w:tab/>
        <w:tab/>
        <w:tab/>
        <w:tab/>
        <w:tab/>
        <w:t xml:space="preserve">    В. Гасинець</w:t>
      </w:r>
    </w:p>
    <w:p>
      <w:pPr>
        <w:pStyle w:val="Normal"/>
        <w:keepNext w:val="true"/>
        <w:keepLines/>
        <w:tabs>
          <w:tab w:val="clear" w:pos="709"/>
          <w:tab w:val="left" w:pos="0" w:leader="none"/>
        </w:tabs>
        <w:jc w:val="left"/>
        <w:rPr/>
      </w:pPr>
      <w:r>
        <w:rPr/>
      </w:r>
    </w:p>
    <w:p>
      <w:pPr>
        <w:sectPr>
          <w:type w:val="continuous"/>
          <w:pgSz w:w="11906" w:h="16838"/>
          <w:pgMar w:left="1701" w:right="567" w:header="0" w:top="1134" w:footer="0" w:bottom="1134" w:gutter="0"/>
          <w:formProt w:val="false"/>
          <w:textDirection w:val="lrTb"/>
          <w:docGrid w:type="default" w:linePitch="600" w:charSpace="0"/>
        </w:sectPr>
      </w:pPr>
    </w:p>
    <w:p>
      <w:pPr>
        <w:pStyle w:val="Normal"/>
        <w:rPr/>
      </w:pPr>
      <w:r>
        <w:rPr/>
      </w:r>
    </w:p>
    <w:sectPr>
      <w:type w:val="continuous"/>
      <w:pgSz w:w="11906" w:h="16838"/>
      <w:pgMar w:left="1701" w:right="567" w:header="0" w:top="1134" w:footer="0" w:bottom="1134" w:gutter="0"/>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Antiqua">
    <w:charset w:val="cc"/>
    <w:family w:val="roman"/>
    <w:pitch w:val="variable"/>
  </w:font>
  <w:font w:name="Calibri">
    <w:charset w:val="cc"/>
    <w:family w:val="roman"/>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OpenSymbol" w:hAnsi="OpenSymbol" w:cs="OpenSymbol" w:hint="default"/>
        <w:sz w:val="28"/>
        <w:rFonts w:cs="Open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4"/>
      <w:numFmt w:val="decimal"/>
      <w:lvlText w:val="%1"/>
      <w:lvlJc w:val="left"/>
      <w:pPr>
        <w:ind w:left="375" w:hanging="375"/>
      </w:pPr>
      <w:rPr>
        <w:b w:val="false"/>
      </w:rPr>
    </w:lvl>
    <w:lvl w:ilvl="1">
      <w:start w:val="1"/>
      <w:numFmt w:val="decimal"/>
      <w:lvlText w:val="3.%2."/>
      <w:lvlJc w:val="left"/>
      <w:pPr>
        <w:ind w:left="1085" w:hanging="375"/>
      </w:pPr>
      <w:rPr>
        <w:sz w:val="28"/>
        <w:b/>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600" w:hanging="144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4">
    <w:lvl w:ilvl="0">
      <w:start w:val="4"/>
      <w:numFmt w:val="decimal"/>
      <w:lvlText w:val="%1."/>
      <w:lvlJc w:val="left"/>
      <w:pPr>
        <w:ind w:left="435" w:hanging="435"/>
      </w:pPr>
      <w:rPr>
        <w:sz w:val="28"/>
        <w:b/>
      </w:rPr>
    </w:lvl>
    <w:lvl w:ilvl="1">
      <w:start w:val="1"/>
      <w:numFmt w:val="decimal"/>
      <w:lvlText w:val="%1.%2."/>
      <w:lvlJc w:val="left"/>
      <w:pPr>
        <w:ind w:left="720" w:hanging="720"/>
      </w:pPr>
      <w:rPr>
        <w:sz w:val="28"/>
        <w:b/>
        <w:color w:val="00000A"/>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5">
    <w:lvl w:ilvl="0">
      <w:start w:val="6"/>
      <w:numFmt w:val="decimal"/>
      <w:lvlText w:val="%1."/>
      <w:lvlJc w:val="left"/>
      <w:pPr>
        <w:ind w:left="435" w:hanging="435"/>
      </w:pPr>
      <w:rPr>
        <w:b w:val="false"/>
      </w:rPr>
    </w:lvl>
    <w:lvl w:ilvl="1">
      <w:start w:val="1"/>
      <w:numFmt w:val="decimal"/>
      <w:lvlText w:val="%1.%2."/>
      <w:lvlJc w:val="left"/>
      <w:pPr>
        <w:ind w:left="1080" w:hanging="720"/>
      </w:pPr>
      <w:rPr>
        <w:sz w:val="28"/>
        <w:b/>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6">
    <w:lvl w:ilvl="0">
      <w:start w:val="6"/>
      <w:numFmt w:val="decimal"/>
      <w:lvlText w:val="%1."/>
      <w:lvlJc w:val="left"/>
      <w:pPr>
        <w:ind w:left="450" w:hanging="450"/>
      </w:pPr>
      <w:rPr>
        <w:sz w:val="28"/>
        <w:b/>
      </w:rPr>
    </w:lvl>
    <w:lvl w:ilvl="1">
      <w:start w:val="6"/>
      <w:numFmt w:val="decimal"/>
      <w:lvlText w:val="%1.%2."/>
      <w:lvlJc w:val="left"/>
      <w:pPr>
        <w:ind w:left="1080" w:hanging="720"/>
      </w:pPr>
      <w:rPr>
        <w:sz w:val="28"/>
        <w:b/>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7">
    <w:lvl w:ilvl="0">
      <w:start w:val="7"/>
      <w:numFmt w:val="decimal"/>
      <w:lvlText w:val="%1."/>
      <w:lvlJc w:val="left"/>
      <w:pPr>
        <w:ind w:left="435" w:hanging="435"/>
      </w:pPr>
      <w:rPr>
        <w:sz w:val="28"/>
        <w:b/>
      </w:rPr>
    </w:lvl>
    <w:lvl w:ilvl="1">
      <w:start w:val="1"/>
      <w:numFmt w:val="decimal"/>
      <w:lvlText w:val="%1.%2."/>
      <w:lvlJc w:val="left"/>
      <w:pPr>
        <w:ind w:left="1080" w:hanging="720"/>
      </w:pPr>
      <w:rPr>
        <w:sz w:val="28"/>
        <w:b/>
        <w:color w:val="auto"/>
      </w:rPr>
    </w:lvl>
    <w:lvl w:ilvl="2">
      <w:start w:val="1"/>
      <w:numFmt w:val="decimal"/>
      <w:lvlText w:val="%1.%2.%3."/>
      <w:lvlJc w:val="left"/>
      <w:pPr>
        <w:ind w:left="1440" w:hanging="720"/>
      </w:pPr>
      <w:rPr>
        <w:b w:val="false"/>
      </w:rPr>
    </w:lvl>
    <w:lvl w:ilvl="3">
      <w:start w:val="1"/>
      <w:numFmt w:val="decimal"/>
      <w:lvlText w:val="%1.%2.%3.%4."/>
      <w:lvlJc w:val="left"/>
      <w:pPr>
        <w:ind w:left="2160" w:hanging="1080"/>
      </w:pPr>
      <w:rPr>
        <w:b w:val="false"/>
      </w:rPr>
    </w:lvl>
    <w:lvl w:ilvl="4">
      <w:start w:val="1"/>
      <w:numFmt w:val="decimal"/>
      <w:lvlText w:val="%1.%2.%3.%4.%5."/>
      <w:lvlJc w:val="left"/>
      <w:pPr>
        <w:ind w:left="2520" w:hanging="1080"/>
      </w:pPr>
      <w:rPr>
        <w:b w:val="false"/>
      </w:rPr>
    </w:lvl>
    <w:lvl w:ilvl="5">
      <w:start w:val="1"/>
      <w:numFmt w:val="decimal"/>
      <w:lvlText w:val="%1.%2.%3.%4.%5.%6."/>
      <w:lvlJc w:val="left"/>
      <w:pPr>
        <w:ind w:left="3240" w:hanging="1440"/>
      </w:pPr>
      <w:rPr>
        <w:b w:val="false"/>
      </w:rPr>
    </w:lvl>
    <w:lvl w:ilvl="6">
      <w:start w:val="1"/>
      <w:numFmt w:val="decimal"/>
      <w:lvlText w:val="%1.%2.%3.%4.%5.%6.%7."/>
      <w:lvlJc w:val="left"/>
      <w:pPr>
        <w:ind w:left="3960" w:hanging="1800"/>
      </w:pPr>
      <w:rPr>
        <w:b w:val="false"/>
      </w:rPr>
    </w:lvl>
    <w:lvl w:ilvl="7">
      <w:start w:val="1"/>
      <w:numFmt w:val="decimal"/>
      <w:lvlText w:val="%1.%2.%3.%4.%5.%6.%7.%8."/>
      <w:lvlJc w:val="left"/>
      <w:pPr>
        <w:ind w:left="4320" w:hanging="1800"/>
      </w:pPr>
      <w:rPr>
        <w:b w:val="false"/>
      </w:rPr>
    </w:lvl>
    <w:lvl w:ilvl="8">
      <w:start w:val="1"/>
      <w:numFmt w:val="decimal"/>
      <w:lvlText w:val="%1.%2.%3.%4.%5.%6.%7.%8.%9."/>
      <w:lvlJc w:val="left"/>
      <w:pPr>
        <w:ind w:left="5040" w:hanging="2160"/>
      </w:pPr>
      <w:rPr>
        <w:b w:val="false"/>
      </w:rPr>
    </w:lvl>
  </w:abstractNum>
  <w:abstractNum w:abstractNumId="8">
    <w:lvl w:ilvl="0">
      <w:start w:val="1"/>
      <w:numFmt w:val="decimal"/>
      <w:lvlText w:val="%1."/>
      <w:lvlJc w:val="left"/>
      <w:pPr>
        <w:ind w:left="360" w:hanging="360"/>
      </w:pPr>
      <w:rPr>
        <w:sz w:val="28"/>
        <w:b/>
      </w:rPr>
    </w:lvl>
    <w:lvl w:ilvl="1">
      <w:start w:val="1"/>
      <w:numFmt w:val="decimal"/>
      <w:lvlText w:val="%1.%2."/>
      <w:lvlJc w:val="left"/>
      <w:pPr>
        <w:ind w:left="1080" w:hanging="360"/>
      </w:pPr>
      <w:rPr>
        <w:sz w:val="28"/>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9">
    <w:lvl w:ilvl="0">
      <w:start w:val="1"/>
      <w:numFmt w:val="bullet"/>
      <w:lvlText w:val="-"/>
      <w:lvlJc w:val="left"/>
      <w:pPr>
        <w:ind w:left="1069" w:hanging="360"/>
      </w:pPr>
      <w:rPr>
        <w:rFonts w:ascii="Times New Roman" w:hAnsi="Times New Roman" w:cs="Times New Roman" w:hint="default"/>
        <w:sz w:val="28"/>
        <w:b/>
        <w:rFonts w:cs="Times New Roman"/>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603"/>
    <w:pPr>
      <w:widowControl w:val="false"/>
      <w:bidi w:val="0"/>
      <w:spacing w:before="0" w:after="0"/>
      <w:jc w:val="center"/>
    </w:pPr>
    <w:rPr>
      <w:rFonts w:ascii="Arial CYR" w:hAnsi="Arial CYR" w:cs="Arial CYR" w:eastAsia="Times New Roman"/>
      <w:color w:val="00000A"/>
      <w:kern w:val="0"/>
      <w:sz w:val="24"/>
      <w:szCs w:val="24"/>
      <w:lang w:val="ru-RU" w:eastAsia="ru-RU" w:bidi="ar-SA"/>
    </w:rPr>
  </w:style>
  <w:style w:type="paragraph" w:styleId="1">
    <w:name w:val="Heading 1"/>
    <w:basedOn w:val="Normal"/>
    <w:link w:val="10"/>
    <w:qFormat/>
    <w:rsid w:val="004f411e"/>
    <w:pPr>
      <w:keepNext w:val="true"/>
      <w:widowControl/>
      <w:numPr>
        <w:ilvl w:val="0"/>
        <w:numId w:val="1"/>
      </w:numPr>
      <w:suppressAutoHyphens w:val="true"/>
      <w:spacing w:before="240" w:after="60"/>
      <w:jc w:val="left"/>
      <w:outlineLvl w:val="0"/>
    </w:pPr>
    <w:rPr>
      <w:rFonts w:ascii="Arial" w:hAnsi="Arial" w:cs="Arial"/>
      <w:b/>
      <w:bCs/>
      <w:sz w:val="32"/>
      <w:szCs w:val="32"/>
      <w:lang w:eastAsia="zh-CN"/>
    </w:rPr>
  </w:style>
  <w:style w:type="paragraph" w:styleId="2">
    <w:name w:val="Heading 2"/>
    <w:basedOn w:val="Normal"/>
    <w:link w:val="20"/>
    <w:semiHidden/>
    <w:unhideWhenUsed/>
    <w:qFormat/>
    <w:rsid w:val="004f411e"/>
    <w:pPr>
      <w:keepNext w:val="true"/>
      <w:widowControl/>
      <w:numPr>
        <w:ilvl w:val="1"/>
        <w:numId w:val="1"/>
      </w:numPr>
      <w:suppressAutoHyphens w:val="true"/>
      <w:outlineLvl w:val="1"/>
    </w:pPr>
    <w:rPr>
      <w:rFonts w:ascii="Times New Roman" w:hAnsi="Times New Roman" w:cs="Times New Roman"/>
      <w:b/>
      <w:bCs/>
      <w:sz w:val="30"/>
      <w:lang w:val="uk-UA" w:eastAsia="zh-CN"/>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qFormat/>
    <w:rsid w:val="00dd1fb0"/>
    <w:rPr>
      <w:rFonts w:ascii="Tahoma" w:hAnsi="Tahoma" w:cs="Tahoma"/>
      <w:sz w:val="16"/>
      <w:szCs w:val="16"/>
    </w:rPr>
  </w:style>
  <w:style w:type="character" w:styleId="11" w:customStyle="1">
    <w:name w:val="Заголовок 1 Знак"/>
    <w:basedOn w:val="DefaultParagraphFont"/>
    <w:link w:val="1"/>
    <w:qFormat/>
    <w:rsid w:val="004f411e"/>
    <w:rPr>
      <w:rFonts w:ascii="Arial" w:hAnsi="Arial" w:cs="Arial"/>
      <w:b/>
      <w:bCs/>
      <w:sz w:val="32"/>
      <w:szCs w:val="32"/>
      <w:lang w:eastAsia="zh-CN"/>
    </w:rPr>
  </w:style>
  <w:style w:type="character" w:styleId="21" w:customStyle="1">
    <w:name w:val="Заголовок 2 Знак"/>
    <w:basedOn w:val="DefaultParagraphFont"/>
    <w:link w:val="2"/>
    <w:semiHidden/>
    <w:qFormat/>
    <w:rsid w:val="004f411e"/>
    <w:rPr>
      <w:b/>
      <w:bCs/>
      <w:sz w:val="30"/>
      <w:szCs w:val="24"/>
      <w:lang w:val="uk-UA" w:eastAsia="zh-CN"/>
    </w:rPr>
  </w:style>
  <w:style w:type="character" w:styleId="Style13" w:customStyle="1">
    <w:name w:val="Верхний колонтитул Знак"/>
    <w:basedOn w:val="DefaultParagraphFont"/>
    <w:qFormat/>
    <w:rsid w:val="00741601"/>
    <w:rPr>
      <w:rFonts w:ascii="Arial CYR" w:hAnsi="Arial CYR" w:cs="Arial CYR"/>
      <w:sz w:val="24"/>
      <w:szCs w:val="24"/>
    </w:rPr>
  </w:style>
  <w:style w:type="character" w:styleId="Style14" w:customStyle="1">
    <w:name w:val="Нижний колонтитул Знак"/>
    <w:basedOn w:val="DefaultParagraphFont"/>
    <w:qFormat/>
    <w:rsid w:val="00741601"/>
    <w:rPr>
      <w:rFonts w:ascii="Arial CYR" w:hAnsi="Arial CYR" w:cs="Arial CYR"/>
      <w:sz w:val="24"/>
      <w:szCs w:val="24"/>
    </w:rPr>
  </w:style>
  <w:style w:type="character" w:styleId="Style15" w:customStyle="1">
    <w:name w:val="Виділення"/>
    <w:basedOn w:val="DefaultParagraphFont"/>
    <w:uiPriority w:val="20"/>
    <w:qFormat/>
    <w:rsid w:val="00cf4882"/>
    <w:rPr>
      <w:i/>
      <w:iCs/>
    </w:rPr>
  </w:style>
  <w:style w:type="character" w:styleId="Rvts15" w:customStyle="1">
    <w:name w:val="rvts15"/>
    <w:basedOn w:val="DefaultParagraphFont"/>
    <w:qFormat/>
    <w:rPr/>
  </w:style>
  <w:style w:type="character" w:styleId="Appleconvertedspace" w:customStyle="1">
    <w:name w:val="apple-converted-space"/>
    <w:basedOn w:val="DefaultParagraphFont"/>
    <w:qFormat/>
    <w:rPr/>
  </w:style>
  <w:style w:type="character" w:styleId="Rvts11" w:customStyle="1">
    <w:name w:val="rvts11"/>
    <w:basedOn w:val="DefaultParagraphFont"/>
    <w:qFormat/>
    <w:rPr/>
  </w:style>
  <w:style w:type="character" w:styleId="Style16" w:customStyle="1">
    <w:name w:val="Символ нумерації"/>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Style23" w:customStyle="1">
    <w:name w:val="Покажчик"/>
    <w:basedOn w:val="Normal"/>
    <w:qFormat/>
    <w:pPr>
      <w:suppressLineNumbers/>
    </w:pPr>
    <w:rPr>
      <w:rFonts w:cs="Arial"/>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5d2f48"/>
    <w:pPr>
      <w:spacing w:before="0" w:after="0"/>
      <w:ind w:left="720" w:hanging="0"/>
      <w:contextualSpacing/>
    </w:pPr>
    <w:rPr/>
  </w:style>
  <w:style w:type="paragraph" w:styleId="BalloonText">
    <w:name w:val="Balloon Text"/>
    <w:basedOn w:val="Normal"/>
    <w:qFormat/>
    <w:rsid w:val="00dd1fb0"/>
    <w:pPr/>
    <w:rPr>
      <w:rFonts w:ascii="Tahoma" w:hAnsi="Tahoma" w:cs="Tahoma"/>
      <w:sz w:val="16"/>
      <w:szCs w:val="16"/>
    </w:rPr>
  </w:style>
  <w:style w:type="paragraph" w:styleId="Style24">
    <w:name w:val="Верхний и нижний колонтитулы"/>
    <w:basedOn w:val="Normal"/>
    <w:qFormat/>
    <w:pPr/>
    <w:rPr/>
  </w:style>
  <w:style w:type="paragraph" w:styleId="Style25">
    <w:name w:val="Header"/>
    <w:basedOn w:val="Normal"/>
    <w:unhideWhenUsed/>
    <w:rsid w:val="00741601"/>
    <w:pPr>
      <w:tabs>
        <w:tab w:val="clear" w:pos="709"/>
        <w:tab w:val="center" w:pos="4819" w:leader="none"/>
        <w:tab w:val="right" w:pos="9639" w:leader="none"/>
      </w:tabs>
    </w:pPr>
    <w:rPr/>
  </w:style>
  <w:style w:type="paragraph" w:styleId="Style26">
    <w:name w:val="Footer"/>
    <w:basedOn w:val="Normal"/>
    <w:unhideWhenUsed/>
    <w:rsid w:val="00741601"/>
    <w:pPr>
      <w:tabs>
        <w:tab w:val="clear" w:pos="709"/>
        <w:tab w:val="center" w:pos="4819" w:leader="none"/>
        <w:tab w:val="right" w:pos="9639" w:leader="none"/>
      </w:tabs>
    </w:pPr>
    <w:rPr/>
  </w:style>
  <w:style w:type="paragraph" w:styleId="Style27" w:customStyle="1">
    <w:name w:val="Содержимое таблицы"/>
    <w:basedOn w:val="Normal"/>
    <w:qFormat/>
    <w:pPr/>
    <w:rPr/>
  </w:style>
  <w:style w:type="paragraph" w:styleId="12" w:customStyle="1">
    <w:name w:val="Заголовок №1"/>
    <w:basedOn w:val="Normal"/>
    <w:qFormat/>
    <w:pPr>
      <w:widowControl/>
      <w:shd w:val="clear" w:color="auto" w:fill="FFFFFF"/>
      <w:suppressAutoHyphens w:val="true"/>
      <w:spacing w:lineRule="exact" w:line="322" w:before="0" w:after="300"/>
      <w:jc w:val="left"/>
    </w:pPr>
    <w:rPr>
      <w:rFonts w:ascii="Times New Roman" w:hAnsi="Times New Roman" w:cs="Times New Roman"/>
      <w:b/>
      <w:bCs/>
      <w:sz w:val="27"/>
      <w:szCs w:val="27"/>
      <w:lang w:val="uk-UA" w:eastAsia="zh-CN"/>
    </w:rPr>
  </w:style>
  <w:style w:type="paragraph" w:styleId="Rvps12" w:customStyle="1">
    <w:name w:val="rvps12"/>
    <w:basedOn w:val="Normal"/>
    <w:qFormat/>
    <w:pPr>
      <w:widowControl/>
      <w:suppressAutoHyphens w:val="true"/>
      <w:spacing w:before="280" w:after="280"/>
      <w:jc w:val="left"/>
    </w:pPr>
    <w:rPr>
      <w:rFonts w:ascii="Times New Roman" w:hAnsi="Times New Roman" w:cs="Times New Roman"/>
      <w:lang w:val="uk-UA" w:eastAsia="zh-CN"/>
    </w:rPr>
  </w:style>
  <w:style w:type="paragraph" w:styleId="Style28">
    <w:name w:val="Body Text Indent"/>
    <w:basedOn w:val="Normal"/>
    <w:pPr>
      <w:widowControl/>
      <w:suppressAutoHyphens w:val="true"/>
      <w:spacing w:before="0" w:after="120"/>
      <w:ind w:left="283" w:hanging="0"/>
      <w:jc w:val="left"/>
    </w:pPr>
    <w:rPr>
      <w:rFonts w:ascii="Times New Roman" w:hAnsi="Times New Roman" w:cs="Times New Roman"/>
      <w:lang w:val="uk-UA" w:eastAsia="zh-CN"/>
    </w:rPr>
  </w:style>
  <w:style w:type="paragraph" w:styleId="Rvps2" w:customStyle="1">
    <w:name w:val="rvps2"/>
    <w:basedOn w:val="Normal"/>
    <w:qFormat/>
    <w:pPr>
      <w:widowControl/>
      <w:suppressAutoHyphens w:val="true"/>
      <w:spacing w:before="280" w:after="280"/>
      <w:jc w:val="left"/>
    </w:pPr>
    <w:rPr>
      <w:rFonts w:ascii="Times New Roman" w:hAnsi="Times New Roman" w:cs="Times New Roman"/>
      <w:lang w:val="uk-UA" w:eastAsia="zh-CN"/>
    </w:rPr>
  </w:style>
  <w:style w:type="paragraph" w:styleId="Rvps14" w:customStyle="1">
    <w:name w:val="rvps14"/>
    <w:basedOn w:val="Normal"/>
    <w:qFormat/>
    <w:pPr>
      <w:widowControl/>
      <w:suppressAutoHyphens w:val="true"/>
      <w:spacing w:before="280" w:after="280"/>
      <w:jc w:val="left"/>
    </w:pPr>
    <w:rPr>
      <w:rFonts w:ascii="Times New Roman" w:hAnsi="Times New Roman" w:cs="Times New Roman"/>
      <w:lang w:val="uk-UA" w:eastAsia="zh-CN"/>
    </w:rPr>
  </w:style>
  <w:style w:type="paragraph" w:styleId="Rvps3" w:customStyle="1">
    <w:name w:val="rvps3"/>
    <w:basedOn w:val="Normal"/>
    <w:qFormat/>
    <w:pPr>
      <w:widowControl/>
      <w:suppressAutoHyphens w:val="true"/>
      <w:spacing w:before="280" w:after="280"/>
      <w:jc w:val="left"/>
    </w:pPr>
    <w:rPr>
      <w:rFonts w:ascii="Times New Roman" w:hAnsi="Times New Roman" w:cs="Times New Roman"/>
      <w:lang w:val="uk-UA" w:eastAsia="zh-CN"/>
    </w:rPr>
  </w:style>
  <w:style w:type="paragraph" w:styleId="Style29" w:customStyle="1">
    <w:name w:val="Вміст таблиці"/>
    <w:basedOn w:val="Normal"/>
    <w:qFormat/>
    <w:pPr>
      <w:suppressLineNumbers/>
    </w:pPr>
    <w:rPr/>
  </w:style>
  <w:style w:type="paragraph" w:styleId="Style30" w:customStyle="1">
    <w:name w:val="Заголовок таблиці"/>
    <w:basedOn w:val="Style29"/>
    <w:qFormat/>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3425-E9A0-4421-99FA-B666622C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Application>LibreOffice/6.4.1.2$Windows_X86_64 LibreOffice_project/4d224e95b98b138af42a64d84056446d09082932</Application>
  <Pages>32</Pages>
  <Words>6723</Words>
  <Characters>49350</Characters>
  <CharactersWithSpaces>56046</CharactersWithSpaces>
  <Paragraphs>600</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2019-09-05T12:58:00Z</dcterms:created>
  <dc:creator>Customer</dc:creator>
  <dc:description/>
  <dc:language>uk-UA</dc:language>
  <cp:lastModifiedBy/>
  <cp:lastPrinted>2020-04-07T12:15:00Z</cp:lastPrinted>
  <dcterms:modified xsi:type="dcterms:W3CDTF">2020-04-08T09:04:06Z</dcterms:modified>
  <cp:revision>41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