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951"/>
        <w:gridCol w:w="458"/>
        <w:gridCol w:w="2010"/>
        <w:gridCol w:w="259"/>
        <w:gridCol w:w="108"/>
        <w:gridCol w:w="885"/>
        <w:gridCol w:w="1667"/>
        <w:gridCol w:w="567"/>
        <w:gridCol w:w="1593"/>
        <w:gridCol w:w="108"/>
      </w:tblGrid>
      <w:tr w:rsidR="004D7258" w:rsidTr="004D7258">
        <w:trPr>
          <w:gridAfter w:val="1"/>
          <w:wAfter w:w="108" w:type="dxa"/>
          <w:trHeight w:val="70"/>
        </w:trPr>
        <w:tc>
          <w:tcPr>
            <w:tcW w:w="4786" w:type="dxa"/>
            <w:gridSpan w:val="5"/>
            <w:shd w:val="clear" w:color="auto" w:fill="auto"/>
          </w:tcPr>
          <w:p w:rsidR="004D7258" w:rsidRDefault="004D7258" w:rsidP="009977C0">
            <w:pPr>
              <w:jc w:val="center"/>
            </w:pPr>
            <w:r w:rsidRPr="00B16974">
              <w:rPr>
                <w:rFonts w:ascii="Times New Roman" w:hAnsi="Times New Roman" w:cs="Times New Roman"/>
                <w:noProof/>
                <w:lang w:eastAsia="uk-UA" w:bidi="ar-SA"/>
              </w:rPr>
              <w:drawing>
                <wp:inline distT="0" distB="0" distL="0" distR="0">
                  <wp:extent cx="466090" cy="638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5"/>
            <w:shd w:val="clear" w:color="auto" w:fill="auto"/>
          </w:tcPr>
          <w:p w:rsidR="004D7258" w:rsidRDefault="004D7258" w:rsidP="009977C0">
            <w:pPr>
              <w:jc w:val="center"/>
            </w:pPr>
            <w:r w:rsidRPr="00B16974">
              <w:rPr>
                <w:rFonts w:ascii="Times New Roman" w:hAnsi="Times New Roman" w:cs="Times New Roman"/>
                <w:noProof/>
                <w:lang w:eastAsia="uk-UA" w:bidi="ar-SA"/>
              </w:rPr>
              <w:drawing>
                <wp:inline distT="0" distB="0" distL="0" distR="0">
                  <wp:extent cx="466090" cy="6470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258" w:rsidTr="004D7258">
        <w:trPr>
          <w:gridAfter w:val="1"/>
          <w:wAfter w:w="108" w:type="dxa"/>
          <w:trHeight w:val="96"/>
        </w:trPr>
        <w:tc>
          <w:tcPr>
            <w:tcW w:w="4786" w:type="dxa"/>
            <w:gridSpan w:val="5"/>
            <w:shd w:val="clear" w:color="auto" w:fill="auto"/>
          </w:tcPr>
          <w:p w:rsidR="004D7258" w:rsidRDefault="004D7258" w:rsidP="009977C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 К Р А Ї Н А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ЗАКАРПАТСЬКА ОБЛАСТЬ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МУКАЧІВСЬКА МІСЬКА РАДА</w:t>
            </w:r>
          </w:p>
          <w:p w:rsidR="004D7258" w:rsidRDefault="004D7258" w:rsidP="009977C0">
            <w:pPr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ВИКОНАВЧИЙ КОМІТЕТ</w:t>
            </w:r>
          </w:p>
          <w:p w:rsidR="004D7258" w:rsidRDefault="004D7258" w:rsidP="009977C0">
            <w:pPr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4D7258" w:rsidRDefault="004D7258" w:rsidP="009977C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K R A I N E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TRANSCARPATHIAN REGION</w:t>
            </w:r>
          </w:p>
          <w:p w:rsidR="004D7258" w:rsidRDefault="004D7258" w:rsidP="009977C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Executive Committee</w:t>
            </w:r>
          </w:p>
          <w:p w:rsidR="004D7258" w:rsidRDefault="004D7258" w:rsidP="009977C0">
            <w:pPr>
              <w:jc w:val="center"/>
              <w:rPr>
                <w:rFonts w:ascii="inherit" w:hAnsi="inherit" w:cs="inherit"/>
                <w:color w:val="212121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of Mukachevo City Council</w:t>
            </w:r>
          </w:p>
          <w:p w:rsidR="004D7258" w:rsidRDefault="004D7258" w:rsidP="009977C0">
            <w:pPr>
              <w:pStyle w:val="HTML1"/>
              <w:shd w:val="clear" w:color="auto" w:fill="FFFFFF"/>
              <w:jc w:val="center"/>
              <w:rPr>
                <w:rFonts w:ascii="inherit" w:hAnsi="inherit" w:cs="inherit"/>
                <w:color w:val="212121"/>
                <w:lang w:val="en-US"/>
              </w:rPr>
            </w:pPr>
          </w:p>
        </w:tc>
      </w:tr>
      <w:tr w:rsidR="00446FE3" w:rsidTr="004D7258">
        <w:trPr>
          <w:gridBefore w:val="1"/>
          <w:wBefore w:w="108" w:type="dxa"/>
          <w:trHeight w:val="70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:rsidR="00446FE3" w:rsidRDefault="001A6E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46FE3" w:rsidRDefault="00446F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446FE3" w:rsidRDefault="001A6E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№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46FE3" w:rsidRDefault="004D725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FE3" w:rsidRDefault="00446F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6E9B" w:rsidRDefault="001A6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78" w:rsidRPr="00175356" w:rsidRDefault="00C16978" w:rsidP="00C16978">
      <w:pPr>
        <w:jc w:val="right"/>
        <w:rPr>
          <w:b/>
          <w:sz w:val="28"/>
          <w:szCs w:val="28"/>
        </w:rPr>
      </w:pPr>
      <w:r w:rsidRPr="00175356">
        <w:rPr>
          <w:b/>
          <w:sz w:val="28"/>
          <w:szCs w:val="28"/>
        </w:rPr>
        <w:t>Міському голові</w:t>
      </w:r>
    </w:p>
    <w:p w:rsidR="00C16978" w:rsidRPr="00175356" w:rsidRDefault="00C16978" w:rsidP="00C169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А.Балога</w:t>
      </w: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Pr="007D0726" w:rsidRDefault="001B22B0" w:rsidP="001B22B0">
      <w:pPr>
        <w:spacing w:line="360" w:lineRule="auto"/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7D0726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Звіт секретаріату </w:t>
      </w:r>
      <w:r w:rsidR="00373D31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ради за </w:t>
      </w:r>
      <w:r w:rsidR="000F1561"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en-US"/>
        </w:rPr>
        <w:t>I</w:t>
      </w:r>
      <w:r w:rsidR="000F1561" w:rsidRPr="00E7531F">
        <w:rPr>
          <w:rFonts w:ascii="Times New Roman" w:eastAsia="WenQuanYi Micro Hei" w:hAnsi="Times New Roman" w:cs="Times New Roman"/>
          <w:b/>
          <w:kern w:val="28"/>
          <w:sz w:val="28"/>
          <w:szCs w:val="28"/>
          <w:lang w:val="ru-RU"/>
        </w:rPr>
        <w:t>-</w:t>
      </w:r>
      <w:r w:rsidR="000F1561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ий</w:t>
      </w:r>
      <w:r w:rsidR="00373D31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квартал 2021 року</w:t>
      </w:r>
    </w:p>
    <w:p w:rsidR="001126DD" w:rsidRDefault="0009382F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337B1">
        <w:rPr>
          <w:sz w:val="28"/>
          <w:szCs w:val="28"/>
        </w:rPr>
        <w:t>За вказаний період с</w:t>
      </w:r>
      <w:r w:rsidR="001B22B0" w:rsidRPr="00E337B1">
        <w:rPr>
          <w:sz w:val="28"/>
          <w:szCs w:val="28"/>
        </w:rPr>
        <w:t xml:space="preserve">екретаріатом </w:t>
      </w:r>
      <w:r w:rsidRPr="00E337B1">
        <w:rPr>
          <w:sz w:val="28"/>
          <w:szCs w:val="28"/>
        </w:rPr>
        <w:t xml:space="preserve">ради </w:t>
      </w:r>
      <w:r w:rsidR="001B22B0" w:rsidRPr="00E337B1">
        <w:rPr>
          <w:sz w:val="28"/>
          <w:szCs w:val="28"/>
        </w:rPr>
        <w:t xml:space="preserve">підготовлено та організовано </w:t>
      </w:r>
      <w:r w:rsidR="001126DD">
        <w:rPr>
          <w:sz w:val="28"/>
          <w:szCs w:val="28"/>
        </w:rPr>
        <w:br/>
      </w:r>
      <w:r w:rsidR="00175975">
        <w:rPr>
          <w:sz w:val="28"/>
          <w:szCs w:val="28"/>
        </w:rPr>
        <w:t>3</w:t>
      </w:r>
      <w:r w:rsidR="001126DD">
        <w:rPr>
          <w:sz w:val="28"/>
          <w:szCs w:val="28"/>
        </w:rPr>
        <w:t xml:space="preserve"> сесії</w:t>
      </w:r>
      <w:r w:rsidR="001B22B0" w:rsidRPr="00E337B1">
        <w:rPr>
          <w:sz w:val="28"/>
          <w:szCs w:val="28"/>
        </w:rPr>
        <w:t xml:space="preserve"> Мукачівської міської ради</w:t>
      </w:r>
      <w:r w:rsidR="001126DD">
        <w:rPr>
          <w:sz w:val="28"/>
          <w:szCs w:val="28"/>
        </w:rPr>
        <w:t xml:space="preserve"> 8</w:t>
      </w:r>
      <w:r w:rsidR="00175975">
        <w:rPr>
          <w:sz w:val="28"/>
          <w:szCs w:val="28"/>
        </w:rPr>
        <w:t>-го скликання</w:t>
      </w:r>
      <w:r w:rsidR="001B22B0" w:rsidRPr="00E337B1">
        <w:rPr>
          <w:sz w:val="28"/>
          <w:szCs w:val="28"/>
        </w:rPr>
        <w:t xml:space="preserve">, </w:t>
      </w:r>
      <w:r w:rsidR="004F11AD" w:rsidRPr="00E337B1">
        <w:rPr>
          <w:sz w:val="28"/>
          <w:szCs w:val="28"/>
        </w:rPr>
        <w:t xml:space="preserve"> прийнято </w:t>
      </w:r>
      <w:r w:rsidR="001B22B0" w:rsidRPr="00E337B1">
        <w:rPr>
          <w:sz w:val="28"/>
          <w:szCs w:val="28"/>
        </w:rPr>
        <w:t xml:space="preserve"> </w:t>
      </w:r>
      <w:r w:rsidR="001126DD">
        <w:rPr>
          <w:sz w:val="28"/>
          <w:szCs w:val="28"/>
        </w:rPr>
        <w:t xml:space="preserve">141 </w:t>
      </w:r>
      <w:r w:rsidR="001B22B0" w:rsidRPr="00E337B1">
        <w:rPr>
          <w:sz w:val="28"/>
          <w:szCs w:val="28"/>
        </w:rPr>
        <w:t>рішен</w:t>
      </w:r>
      <w:r w:rsidR="00C72F78" w:rsidRPr="00E337B1">
        <w:rPr>
          <w:sz w:val="28"/>
          <w:szCs w:val="28"/>
        </w:rPr>
        <w:t>ня</w:t>
      </w:r>
      <w:r w:rsidR="001126DD">
        <w:rPr>
          <w:sz w:val="28"/>
          <w:szCs w:val="28"/>
        </w:rPr>
        <w:t>.</w:t>
      </w:r>
    </w:p>
    <w:p w:rsidR="001B22B0" w:rsidRPr="001E4717" w:rsidRDefault="00E7531F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F54CA">
        <w:rPr>
          <w:sz w:val="28"/>
          <w:szCs w:val="28"/>
        </w:rPr>
        <w:t xml:space="preserve">У </w:t>
      </w:r>
      <w:r w:rsidRPr="001F54CA">
        <w:rPr>
          <w:rFonts w:eastAsia="WenQuanYi Micro Hei"/>
          <w:kern w:val="28"/>
          <w:sz w:val="28"/>
          <w:szCs w:val="28"/>
        </w:rPr>
        <w:t xml:space="preserve">І-му кварталі </w:t>
      </w:r>
      <w:r w:rsidRPr="00E7531F">
        <w:rPr>
          <w:rFonts w:eastAsia="WenQuanYi Micro Hei"/>
          <w:kern w:val="28"/>
          <w:sz w:val="28"/>
          <w:szCs w:val="28"/>
        </w:rPr>
        <w:t xml:space="preserve">2021 року </w:t>
      </w:r>
      <w:r w:rsidR="0009382F" w:rsidRPr="001E4717">
        <w:rPr>
          <w:sz w:val="28"/>
          <w:szCs w:val="28"/>
        </w:rPr>
        <w:t>с</w:t>
      </w:r>
      <w:r w:rsidR="001B22B0" w:rsidRPr="001E4717">
        <w:rPr>
          <w:sz w:val="28"/>
          <w:szCs w:val="28"/>
        </w:rPr>
        <w:t xml:space="preserve">екретаріатом </w:t>
      </w:r>
      <w:r w:rsidR="00D76F94">
        <w:rPr>
          <w:sz w:val="28"/>
          <w:szCs w:val="28"/>
        </w:rPr>
        <w:t xml:space="preserve">ради забезпечено організацію </w:t>
      </w:r>
      <w:r w:rsidR="00F4358C">
        <w:rPr>
          <w:sz w:val="28"/>
          <w:szCs w:val="28"/>
        </w:rPr>
        <w:t xml:space="preserve">13 </w:t>
      </w:r>
      <w:r w:rsidR="001B22B0" w:rsidRPr="001E4717">
        <w:rPr>
          <w:sz w:val="28"/>
          <w:szCs w:val="28"/>
        </w:rPr>
        <w:t>засідан</w:t>
      </w:r>
      <w:r w:rsidR="0009382F" w:rsidRPr="001E4717">
        <w:rPr>
          <w:sz w:val="28"/>
          <w:szCs w:val="28"/>
        </w:rPr>
        <w:t xml:space="preserve">ь </w:t>
      </w:r>
      <w:r w:rsidR="008D5DDE">
        <w:rPr>
          <w:sz w:val="28"/>
          <w:szCs w:val="28"/>
        </w:rPr>
        <w:t xml:space="preserve">постійних </w:t>
      </w:r>
      <w:r w:rsidR="001B22B0" w:rsidRPr="001E4717">
        <w:rPr>
          <w:sz w:val="28"/>
          <w:szCs w:val="28"/>
        </w:rPr>
        <w:t>комісій</w:t>
      </w:r>
      <w:r w:rsidR="008D5DDE">
        <w:rPr>
          <w:sz w:val="28"/>
          <w:szCs w:val="28"/>
        </w:rPr>
        <w:t xml:space="preserve"> </w:t>
      </w:r>
      <w:r w:rsidR="008D5DDE" w:rsidRPr="00E337B1">
        <w:rPr>
          <w:sz w:val="28"/>
          <w:szCs w:val="28"/>
        </w:rPr>
        <w:t xml:space="preserve">Мукачівської міської </w:t>
      </w:r>
      <w:r w:rsidR="00D76F94">
        <w:rPr>
          <w:sz w:val="28"/>
          <w:szCs w:val="28"/>
        </w:rPr>
        <w:t>ради 8</w:t>
      </w:r>
      <w:r w:rsidR="008D5DDE">
        <w:rPr>
          <w:sz w:val="28"/>
          <w:szCs w:val="28"/>
        </w:rPr>
        <w:t>-го скликання</w:t>
      </w:r>
      <w:r w:rsidR="001B22B0" w:rsidRPr="001E4717">
        <w:rPr>
          <w:sz w:val="28"/>
          <w:szCs w:val="28"/>
        </w:rPr>
        <w:t>, на яких розгля</w:t>
      </w:r>
      <w:r w:rsidR="00D616D5">
        <w:rPr>
          <w:sz w:val="28"/>
          <w:szCs w:val="28"/>
        </w:rPr>
        <w:t xml:space="preserve">нуто 176 </w:t>
      </w:r>
      <w:r w:rsidR="008D5DDE">
        <w:rPr>
          <w:sz w:val="28"/>
          <w:szCs w:val="28"/>
        </w:rPr>
        <w:t>проєкт</w:t>
      </w:r>
      <w:r w:rsidR="00D616D5">
        <w:rPr>
          <w:sz w:val="28"/>
          <w:szCs w:val="28"/>
        </w:rPr>
        <w:t>ів</w:t>
      </w:r>
      <w:r w:rsidR="0009382F" w:rsidRPr="001E4717">
        <w:rPr>
          <w:sz w:val="28"/>
          <w:szCs w:val="28"/>
        </w:rPr>
        <w:t xml:space="preserve"> рішень</w:t>
      </w:r>
      <w:r w:rsidR="001B22B0" w:rsidRPr="001E4717">
        <w:rPr>
          <w:sz w:val="28"/>
          <w:szCs w:val="28"/>
        </w:rPr>
        <w:t xml:space="preserve">, а саме: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бюджету та</w:t>
      </w:r>
      <w:r w:rsidR="00F4358C">
        <w:rPr>
          <w:sz w:val="28"/>
          <w:szCs w:val="28"/>
        </w:rPr>
        <w:t xml:space="preserve"> регламенту – 3 засідання (розглянуто </w:t>
      </w:r>
      <w:r w:rsidR="007C5A79">
        <w:rPr>
          <w:sz w:val="28"/>
          <w:szCs w:val="28"/>
        </w:rPr>
        <w:t>68</w:t>
      </w:r>
      <w:r w:rsidR="008D5DDE">
        <w:rPr>
          <w:sz w:val="28"/>
          <w:szCs w:val="28"/>
        </w:rPr>
        <w:t xml:space="preserve"> проєкт</w:t>
      </w:r>
      <w:r w:rsidR="007C5A79">
        <w:rPr>
          <w:sz w:val="28"/>
          <w:szCs w:val="28"/>
        </w:rPr>
        <w:t>ів</w:t>
      </w:r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>з питань комунальної власності та земельних відносин</w:t>
      </w:r>
      <w:r w:rsidR="00D31DE2">
        <w:rPr>
          <w:sz w:val="28"/>
          <w:szCs w:val="28"/>
        </w:rPr>
        <w:t xml:space="preserve"> - 3 засідання</w:t>
      </w:r>
      <w:r w:rsidR="00EF0C0D">
        <w:rPr>
          <w:sz w:val="28"/>
          <w:szCs w:val="28"/>
        </w:rPr>
        <w:t xml:space="preserve"> (розг</w:t>
      </w:r>
      <w:r w:rsidR="00D31DE2">
        <w:rPr>
          <w:sz w:val="28"/>
          <w:szCs w:val="28"/>
        </w:rPr>
        <w:t>лянуто 60</w:t>
      </w:r>
      <w:r w:rsidR="008D5DDE">
        <w:rPr>
          <w:sz w:val="28"/>
          <w:szCs w:val="28"/>
        </w:rPr>
        <w:t xml:space="preserve"> проє</w:t>
      </w:r>
      <w:r w:rsidRPr="001B22B0">
        <w:rPr>
          <w:sz w:val="28"/>
          <w:szCs w:val="28"/>
        </w:rPr>
        <w:t>кт</w:t>
      </w:r>
      <w:r w:rsidR="00D31DE2">
        <w:rPr>
          <w:sz w:val="28"/>
          <w:szCs w:val="28"/>
        </w:rPr>
        <w:t>ів</w:t>
      </w:r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 xml:space="preserve">з питань </w:t>
      </w:r>
      <w:r w:rsidR="00572D74" w:rsidRPr="00572D74">
        <w:rPr>
          <w:sz w:val="28"/>
          <w:szCs w:val="28"/>
        </w:rPr>
        <w:t>гуманітарної політики</w:t>
      </w:r>
      <w:r w:rsidR="00572D74">
        <w:rPr>
          <w:sz w:val="28"/>
          <w:szCs w:val="28"/>
        </w:rPr>
        <w:t xml:space="preserve"> - 3 засідання</w:t>
      </w:r>
      <w:r w:rsidR="00C661DA">
        <w:rPr>
          <w:sz w:val="28"/>
          <w:szCs w:val="28"/>
        </w:rPr>
        <w:t xml:space="preserve"> (розглянуто </w:t>
      </w:r>
      <w:r w:rsidR="00572D74">
        <w:rPr>
          <w:sz w:val="28"/>
          <w:szCs w:val="28"/>
        </w:rPr>
        <w:t>32 проєкти</w:t>
      </w:r>
      <w:r w:rsidRPr="001B22B0">
        <w:rPr>
          <w:sz w:val="28"/>
          <w:szCs w:val="28"/>
        </w:rPr>
        <w:t xml:space="preserve">); </w:t>
      </w:r>
    </w:p>
    <w:p w:rsidR="001B22B0" w:rsidRPr="001B22B0" w:rsidRDefault="001B22B0" w:rsidP="0009382F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B22B0">
        <w:rPr>
          <w:sz w:val="28"/>
          <w:szCs w:val="28"/>
        </w:rPr>
        <w:t xml:space="preserve">- </w:t>
      </w:r>
      <w:r w:rsidRPr="00344158">
        <w:rPr>
          <w:sz w:val="28"/>
          <w:szCs w:val="28"/>
        </w:rPr>
        <w:t xml:space="preserve">з питань </w:t>
      </w:r>
      <w:r w:rsidR="00572D74" w:rsidRPr="00572D74">
        <w:rPr>
          <w:sz w:val="28"/>
          <w:szCs w:val="28"/>
        </w:rPr>
        <w:t>інфраструктури</w:t>
      </w:r>
      <w:r w:rsidR="009A26F4">
        <w:rPr>
          <w:sz w:val="28"/>
          <w:szCs w:val="28"/>
        </w:rPr>
        <w:t xml:space="preserve"> -  </w:t>
      </w:r>
      <w:r w:rsidR="00572D74">
        <w:rPr>
          <w:sz w:val="28"/>
          <w:szCs w:val="28"/>
        </w:rPr>
        <w:t>4</w:t>
      </w:r>
      <w:r w:rsidR="002F356B">
        <w:rPr>
          <w:sz w:val="28"/>
          <w:szCs w:val="28"/>
        </w:rPr>
        <w:t xml:space="preserve"> </w:t>
      </w:r>
      <w:r w:rsidR="00572D74">
        <w:rPr>
          <w:sz w:val="28"/>
          <w:szCs w:val="28"/>
        </w:rPr>
        <w:t>засідання</w:t>
      </w:r>
      <w:r w:rsidR="009A26F4">
        <w:rPr>
          <w:sz w:val="28"/>
          <w:szCs w:val="28"/>
        </w:rPr>
        <w:t xml:space="preserve"> (розглянуто </w:t>
      </w:r>
      <w:r w:rsidR="002940A5">
        <w:rPr>
          <w:sz w:val="28"/>
          <w:szCs w:val="28"/>
        </w:rPr>
        <w:t>16</w:t>
      </w:r>
      <w:r w:rsidR="002F356B">
        <w:rPr>
          <w:sz w:val="28"/>
          <w:szCs w:val="28"/>
        </w:rPr>
        <w:t xml:space="preserve"> </w:t>
      </w:r>
      <w:r w:rsidR="008D5DDE">
        <w:rPr>
          <w:sz w:val="28"/>
          <w:szCs w:val="28"/>
        </w:rPr>
        <w:t>проє</w:t>
      </w:r>
      <w:r w:rsidR="00572D74">
        <w:rPr>
          <w:sz w:val="28"/>
          <w:szCs w:val="28"/>
        </w:rPr>
        <w:t>ктів).</w:t>
      </w:r>
    </w:p>
    <w:p w:rsidR="00FB3CBA" w:rsidRPr="00351B5D" w:rsidRDefault="003B3C30" w:rsidP="00351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sz w:val="28"/>
          <w:szCs w:val="28"/>
        </w:rPr>
        <w:t>Щомісяця сесією розглядалися майнові та земельні питання, завдяки яким громадяни отримали можливість впорядкувати земельні питання, бюджет отримав додаткові надходження від реалізації майна та земельних ділянок, орендної плати тощо; також постійно на сесію виносилися проєкти рішень щодо внесення змін у цільові програми, програму соціально-економічного розвитку та зміни до місцевого бюджету.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Працівниками секретаріату ради надавалась допомога головам </w:t>
      </w:r>
      <w:r>
        <w:rPr>
          <w:sz w:val="28"/>
          <w:szCs w:val="28"/>
        </w:rPr>
        <w:t xml:space="preserve">постійних </w:t>
      </w:r>
      <w:r w:rsidRPr="00EE2E9D">
        <w:rPr>
          <w:sz w:val="28"/>
          <w:szCs w:val="28"/>
        </w:rPr>
        <w:t>комісій у скликанні засідань комісій, веденні їх діловодства та протоколів, підготовці питань, які виносяться на розгляд комісій. Готувалася інформація щодо роботи місько</w:t>
      </w:r>
      <w:r>
        <w:rPr>
          <w:sz w:val="28"/>
          <w:szCs w:val="28"/>
        </w:rPr>
        <w:t xml:space="preserve">ї ради, постійних </w:t>
      </w:r>
      <w:r w:rsidRPr="00EE2E9D">
        <w:rPr>
          <w:sz w:val="28"/>
          <w:szCs w:val="28"/>
        </w:rPr>
        <w:t xml:space="preserve">комісій </w:t>
      </w:r>
      <w:r>
        <w:rPr>
          <w:sz w:val="28"/>
          <w:szCs w:val="28"/>
        </w:rPr>
        <w:t xml:space="preserve">ради </w:t>
      </w:r>
      <w:r w:rsidRPr="00EE2E9D">
        <w:rPr>
          <w:sz w:val="28"/>
          <w:szCs w:val="28"/>
        </w:rPr>
        <w:t>та подавалася для розміщення на офіційному сайті міської ради.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Всі проєкти рішень попередньо розглядалися на за</w:t>
      </w:r>
      <w:r>
        <w:rPr>
          <w:sz w:val="28"/>
          <w:szCs w:val="28"/>
        </w:rPr>
        <w:t xml:space="preserve">сіданнях постійних </w:t>
      </w:r>
      <w:r w:rsidRPr="00EE2E9D">
        <w:rPr>
          <w:sz w:val="28"/>
          <w:szCs w:val="28"/>
        </w:rPr>
        <w:t>комісій міської ради та виносилися на розгляд сесій міської ради.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Забезпечено оприлюднення проєктів рішень на офіційному сайті міської ради. Забезпечено оприлюднення результатів голосувань депутатів міської ради згідно даних електронної системи голосування «Віче».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Здійснено постійний моніторинг змін до законодавства України, зокрема з питань місцевого самоврядування.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lastRenderedPageBreak/>
        <w:t>- про час і місце проведення сесії ради, порядок денний сесії ради, проєктів рішень ради;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</w:t>
      </w:r>
      <w:r>
        <w:rPr>
          <w:sz w:val="28"/>
          <w:szCs w:val="28"/>
        </w:rPr>
        <w:t xml:space="preserve"> та місце засідань постійних </w:t>
      </w:r>
      <w:r w:rsidRPr="00EE2E9D">
        <w:rPr>
          <w:sz w:val="28"/>
          <w:szCs w:val="28"/>
        </w:rPr>
        <w:t>комісій;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Забезпечено наповнення офіційної вебсторінки Мукачівської міської ради з питань висвітлення роботи ради, депутатів, постійних комісій; функціонування та наповнення офіційної сторінки секретаріату ради в соціальній мережі Facebook.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У структурному підрозділі формується електронна база проєктів рішень та рішень сесій міської ради та подається для розміщення на сайті міської ради.</w:t>
      </w:r>
    </w:p>
    <w:p w:rsidR="003B3C30" w:rsidRPr="00EE2E9D" w:rsidRDefault="003B3C30" w:rsidP="003B3C30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4EF" w:rsidRDefault="00035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978" w:rsidRDefault="00C16978" w:rsidP="00C16978">
      <w:pPr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Керівник секретаріату</w:t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ради</w:t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C65955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  <w:t>Л.Стегура</w:t>
      </w:r>
    </w:p>
    <w:p w:rsidR="00C16978" w:rsidRDefault="00C16978" w:rsidP="00C16978">
      <w:pPr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:rsidR="00C16978" w:rsidRPr="00A2735D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Усович</w:t>
      </w:r>
    </w:p>
    <w:p w:rsidR="00C16978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23301</w:t>
      </w:r>
    </w:p>
    <w:p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7C4CCD" w:rsidRDefault="007C4CC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0354EF" w:rsidRPr="00A2735D" w:rsidRDefault="000354EF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p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4D7258" w:rsidRPr="00D56A4E" w:rsidTr="009977C0">
        <w:trPr>
          <w:trHeight w:val="971"/>
        </w:trPr>
        <w:tc>
          <w:tcPr>
            <w:tcW w:w="501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пл. Духновича Олександра, 2, м. Мукачево,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Закарпатська обл., Україна, 89600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2-10-78, 2-10-47 </w:t>
            </w:r>
            <w:hyperlink r:id="rId9" w:history="1">
              <w:r w:rsidRPr="005B289B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5B289B">
                <w:rPr>
                  <w:rStyle w:val="a4"/>
                  <w:sz w:val="20"/>
                  <w:szCs w:val="20"/>
                </w:rPr>
                <w:t>://</w:t>
              </w:r>
              <w:r w:rsidRPr="005B289B">
                <w:rPr>
                  <w:rStyle w:val="a4"/>
                  <w:sz w:val="20"/>
                  <w:szCs w:val="20"/>
                  <w:lang w:val="en-US"/>
                </w:rPr>
                <w:t>mukachevo</w:t>
              </w:r>
              <w:r w:rsidRPr="005B289B">
                <w:rPr>
                  <w:rStyle w:val="a4"/>
                  <w:sz w:val="20"/>
                  <w:szCs w:val="20"/>
                </w:rPr>
                <w:t>-</w:t>
              </w:r>
              <w:r w:rsidRPr="005B289B">
                <w:rPr>
                  <w:rStyle w:val="a4"/>
                  <w:sz w:val="20"/>
                  <w:szCs w:val="20"/>
                  <w:lang w:val="en-US"/>
                </w:rPr>
                <w:t>rada</w:t>
              </w:r>
              <w:r w:rsidRPr="005B289B">
                <w:rPr>
                  <w:rStyle w:val="a4"/>
                  <w:sz w:val="20"/>
                  <w:szCs w:val="20"/>
                </w:rPr>
                <w:t>.</w:t>
              </w:r>
              <w:r w:rsidRPr="005B289B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r w:rsidRPr="005B289B">
                <w:rPr>
                  <w:rStyle w:val="a4"/>
                  <w:sz w:val="20"/>
                  <w:szCs w:val="20"/>
                </w:rPr>
                <w:t>.</w:t>
              </w:r>
              <w:r w:rsidRPr="005B289B">
                <w:rPr>
                  <w:rStyle w:val="a4"/>
                  <w:sz w:val="20"/>
                  <w:szCs w:val="20"/>
                  <w:lang w:val="en-US"/>
                </w:rPr>
                <w:t>ua</w:t>
              </w:r>
            </w:hyperlink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sz w:val="20"/>
                <w:szCs w:val="20"/>
              </w:rPr>
              <w:t xml:space="preserve">код ЄДРПОУ 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04053743</w:t>
            </w:r>
          </w:p>
        </w:tc>
        <w:tc>
          <w:tcPr>
            <w:tcW w:w="501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2, Dukhnovych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Oleksandr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sq., Mukachevo city,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Transcarpathian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region</w:t>
            </w: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, Ukraine, 89600</w:t>
            </w:r>
          </w:p>
          <w:p w:rsidR="004D7258" w:rsidRPr="00D56A4E" w:rsidRDefault="004D7258" w:rsidP="009977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tel.: 2-10-78, 2-10-47  </w:t>
            </w:r>
            <w:hyperlink r:id="rId10" w:history="1">
              <w:r w:rsidRPr="005B289B">
                <w:rPr>
                  <w:rStyle w:val="a4"/>
                  <w:bCs/>
                  <w:sz w:val="20"/>
                  <w:szCs w:val="20"/>
                </w:rPr>
                <w:t>http://mukachevo-rada.gov.ua</w:t>
              </w:r>
            </w:hyperlink>
          </w:p>
          <w:p w:rsidR="004D7258" w:rsidRPr="00D56A4E" w:rsidRDefault="004D7258" w:rsidP="009977C0">
            <w:pPr>
              <w:jc w:val="center"/>
            </w:pPr>
            <w:r w:rsidRPr="00D56A4E">
              <w:rPr>
                <w:rFonts w:ascii="Times New Roman" w:hAnsi="Times New Roman" w:cs="Times New Roman"/>
                <w:bCs/>
                <w:sz w:val="20"/>
                <w:szCs w:val="20"/>
              </w:rPr>
              <w:t>Registration code 04053743</w:t>
            </w:r>
          </w:p>
        </w:tc>
        <w:bookmarkStart w:id="0" w:name="_GoBack"/>
        <w:bookmarkEnd w:id="0"/>
      </w:tr>
    </w:tbl>
    <w:p w:rsidR="004D7258" w:rsidRPr="004D7258" w:rsidRDefault="004D7258" w:rsidP="00035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258" w:rsidRPr="004D7258" w:rsidSect="004D7258">
      <w:pgSz w:w="11906" w:h="16838"/>
      <w:pgMar w:top="1134" w:right="567" w:bottom="1134" w:left="1701" w:header="709" w:footer="11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77" w:rsidRDefault="00FC3577">
      <w:r>
        <w:separator/>
      </w:r>
    </w:p>
  </w:endnote>
  <w:endnote w:type="continuationSeparator" w:id="0">
    <w:p w:rsidR="00FC3577" w:rsidRDefault="00FC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77" w:rsidRDefault="00FC3577">
      <w:r>
        <w:separator/>
      </w:r>
    </w:p>
  </w:footnote>
  <w:footnote w:type="continuationSeparator" w:id="0">
    <w:p w:rsidR="00FC3577" w:rsidRDefault="00FC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3"/>
    <w:rsid w:val="00027054"/>
    <w:rsid w:val="000354EF"/>
    <w:rsid w:val="00037B52"/>
    <w:rsid w:val="0007627D"/>
    <w:rsid w:val="00077BF6"/>
    <w:rsid w:val="0009205F"/>
    <w:rsid w:val="0009382F"/>
    <w:rsid w:val="000A4D8F"/>
    <w:rsid w:val="000A5F43"/>
    <w:rsid w:val="000F1561"/>
    <w:rsid w:val="001126DD"/>
    <w:rsid w:val="00143C2E"/>
    <w:rsid w:val="00175975"/>
    <w:rsid w:val="00187E2B"/>
    <w:rsid w:val="001A6E9B"/>
    <w:rsid w:val="001B22B0"/>
    <w:rsid w:val="001E4717"/>
    <w:rsid w:val="001F40C1"/>
    <w:rsid w:val="00211AD5"/>
    <w:rsid w:val="00215731"/>
    <w:rsid w:val="002400E5"/>
    <w:rsid w:val="00241B2A"/>
    <w:rsid w:val="0025660F"/>
    <w:rsid w:val="00272717"/>
    <w:rsid w:val="002940A5"/>
    <w:rsid w:val="002E3885"/>
    <w:rsid w:val="002F356B"/>
    <w:rsid w:val="003033C7"/>
    <w:rsid w:val="00344158"/>
    <w:rsid w:val="00351B5D"/>
    <w:rsid w:val="00373684"/>
    <w:rsid w:val="00373D31"/>
    <w:rsid w:val="003A39E6"/>
    <w:rsid w:val="003B3C30"/>
    <w:rsid w:val="00411E83"/>
    <w:rsid w:val="00446FE3"/>
    <w:rsid w:val="0045082F"/>
    <w:rsid w:val="00460AC0"/>
    <w:rsid w:val="004B4123"/>
    <w:rsid w:val="004D7258"/>
    <w:rsid w:val="004F11AD"/>
    <w:rsid w:val="00530DF0"/>
    <w:rsid w:val="005703DC"/>
    <w:rsid w:val="00572D74"/>
    <w:rsid w:val="005D4751"/>
    <w:rsid w:val="00605401"/>
    <w:rsid w:val="00650C1B"/>
    <w:rsid w:val="00655E7C"/>
    <w:rsid w:val="00662A94"/>
    <w:rsid w:val="00686CB8"/>
    <w:rsid w:val="006C5E73"/>
    <w:rsid w:val="006C7DA6"/>
    <w:rsid w:val="006D5F28"/>
    <w:rsid w:val="006E6454"/>
    <w:rsid w:val="006F138D"/>
    <w:rsid w:val="00721374"/>
    <w:rsid w:val="0072338A"/>
    <w:rsid w:val="00730072"/>
    <w:rsid w:val="00767535"/>
    <w:rsid w:val="007B44DE"/>
    <w:rsid w:val="007C4CCD"/>
    <w:rsid w:val="007C5A79"/>
    <w:rsid w:val="007C62D4"/>
    <w:rsid w:val="007D0726"/>
    <w:rsid w:val="007E27DC"/>
    <w:rsid w:val="007F2D91"/>
    <w:rsid w:val="008419FC"/>
    <w:rsid w:val="00881ED6"/>
    <w:rsid w:val="008A4ADB"/>
    <w:rsid w:val="008D0FA1"/>
    <w:rsid w:val="008D5DDE"/>
    <w:rsid w:val="008F5097"/>
    <w:rsid w:val="009A26F4"/>
    <w:rsid w:val="009B5375"/>
    <w:rsid w:val="009C2324"/>
    <w:rsid w:val="009E121F"/>
    <w:rsid w:val="009E160C"/>
    <w:rsid w:val="00A1418F"/>
    <w:rsid w:val="00A33DB0"/>
    <w:rsid w:val="00A61F79"/>
    <w:rsid w:val="00AA3D25"/>
    <w:rsid w:val="00AB5BF5"/>
    <w:rsid w:val="00AB5FFB"/>
    <w:rsid w:val="00AE4147"/>
    <w:rsid w:val="00AF52FB"/>
    <w:rsid w:val="00B54FE0"/>
    <w:rsid w:val="00C16978"/>
    <w:rsid w:val="00C23A9D"/>
    <w:rsid w:val="00C23B34"/>
    <w:rsid w:val="00C51AE2"/>
    <w:rsid w:val="00C611C5"/>
    <w:rsid w:val="00C661DA"/>
    <w:rsid w:val="00C72F78"/>
    <w:rsid w:val="00CE5F64"/>
    <w:rsid w:val="00CF50D1"/>
    <w:rsid w:val="00D31DE2"/>
    <w:rsid w:val="00D616D5"/>
    <w:rsid w:val="00D76F94"/>
    <w:rsid w:val="00DB4C5A"/>
    <w:rsid w:val="00DB537E"/>
    <w:rsid w:val="00DD685C"/>
    <w:rsid w:val="00E337B1"/>
    <w:rsid w:val="00E7531F"/>
    <w:rsid w:val="00EA519F"/>
    <w:rsid w:val="00EF0C0D"/>
    <w:rsid w:val="00EF5C68"/>
    <w:rsid w:val="00F23169"/>
    <w:rsid w:val="00F4358C"/>
    <w:rsid w:val="00F8651D"/>
    <w:rsid w:val="00FB3CBA"/>
    <w:rsid w:val="00FC3577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04D46E-3B72-43CC-8DF3-8DC1ECE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Текст выноски Знак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customStyle="1" w:styleId="16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textexposedshow">
    <w:name w:val="text_exposed_show"/>
    <w:rsid w:val="00446FE3"/>
  </w:style>
  <w:style w:type="character" w:customStyle="1" w:styleId="textexposedshow0">
    <w:name w:val="textexposedshow"/>
    <w:rsid w:val="00446FE3"/>
  </w:style>
  <w:style w:type="paragraph" w:customStyle="1" w:styleId="17">
    <w:name w:val="Обычный (веб)1"/>
    <w:basedOn w:val="a"/>
    <w:rsid w:val="00446FE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4">
    <w:name w:val="Normal (Web)"/>
    <w:basedOn w:val="a"/>
    <w:uiPriority w:val="99"/>
    <w:unhideWhenUsed/>
    <w:rsid w:val="001B2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5">
    <w:name w:val="Emphasis"/>
    <w:basedOn w:val="a1"/>
    <w:uiPriority w:val="20"/>
    <w:qFormat/>
    <w:rsid w:val="001B22B0"/>
    <w:rPr>
      <w:i/>
      <w:iCs/>
    </w:rPr>
  </w:style>
  <w:style w:type="character" w:styleId="af6">
    <w:name w:val="Strong"/>
    <w:qFormat/>
    <w:rsid w:val="001B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kachevo-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kachevo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USER</cp:lastModifiedBy>
  <cp:revision>116</cp:revision>
  <cp:lastPrinted>2017-05-24T09:57:00Z</cp:lastPrinted>
  <dcterms:created xsi:type="dcterms:W3CDTF">2018-06-19T10:03:00Z</dcterms:created>
  <dcterms:modified xsi:type="dcterms:W3CDTF">2021-04-07T07:05:00Z</dcterms:modified>
</cp:coreProperties>
</file>