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28"/>
          <w:b/>
          <w:sz w:val="28"/>
          <w:b/>
          <w:szCs w:val="28"/>
          <w:rFonts w:ascii="Times New Roman" w:hAnsi="Times New Roman" w:eastAsia="Times New Roman" w:cs="Times New Roman"/>
          <w:color w:val="111111"/>
          <w:lang w:val="uk-UA" w:eastAsia="zh-CN" w:bidi="ar-SA"/>
        </w:rPr>
      </w:pPr>
      <w:r>
        <w:rPr>
          <w:rFonts w:eastAsia="Times New Roman" w:cs="Times New Roman"/>
          <w:b/>
          <w:color w:val="111111"/>
          <w:sz w:val="28"/>
          <w:szCs w:val="28"/>
          <w:lang w:val="uk-UA" w:eastAsia="zh-CN" w:bidi="ar-SA"/>
        </w:rPr>
      </w:r>
      <w:r/>
    </w:p>
    <w:p>
      <w:pPr>
        <w:pStyle w:val="Normal"/>
        <w:tabs>
          <w:tab w:val="left" w:pos="1134" w:leader="none"/>
        </w:tabs>
        <w:ind w:firstLine="5670"/>
        <w:rPr>
          <w:lang w:val="uk-UA"/>
        </w:rPr>
      </w:pPr>
      <w:r>
        <w:rPr>
          <w:sz w:val="28"/>
          <w:szCs w:val="28"/>
          <w:lang w:val="uk-UA"/>
        </w:rPr>
        <w:t>Додаток 3 до рішення</w:t>
      </w:r>
      <w:r/>
    </w:p>
    <w:p>
      <w:pPr>
        <w:pStyle w:val="Normal"/>
        <w:tabs>
          <w:tab w:val="left" w:pos="1134" w:leader="none"/>
        </w:tabs>
        <w:ind w:firstLine="5670"/>
        <w:rPr>
          <w:sz w:val="28"/>
          <w:sz w:val="28"/>
          <w:szCs w:val="28"/>
          <w:lang w:val="uk-UA"/>
        </w:rPr>
      </w:pPr>
      <w:r>
        <w:rPr>
          <w:sz w:val="28"/>
          <w:szCs w:val="28"/>
          <w:lang w:val="uk-UA"/>
        </w:rPr>
        <w:t>виконавчого комітету</w:t>
      </w:r>
      <w:r/>
    </w:p>
    <w:p>
      <w:pPr>
        <w:pStyle w:val="Normal"/>
        <w:tabs>
          <w:tab w:val="left" w:pos="1134" w:leader="none"/>
        </w:tabs>
        <w:ind w:right="-454" w:firstLine="5670"/>
        <w:rPr>
          <w:sz w:val="28"/>
          <w:sz w:val="28"/>
          <w:szCs w:val="28"/>
          <w:lang w:val="uk-UA"/>
        </w:rPr>
      </w:pPr>
      <w:r>
        <w:rPr>
          <w:sz w:val="28"/>
          <w:szCs w:val="28"/>
          <w:lang w:val="uk-UA"/>
        </w:rPr>
        <w:t>Мукачівської міської ради</w:t>
      </w:r>
      <w:r/>
    </w:p>
    <w:p>
      <w:pPr>
        <w:pStyle w:val="Normal"/>
        <w:tabs>
          <w:tab w:val="left" w:pos="1134" w:leader="none"/>
        </w:tabs>
        <w:ind w:firstLine="5670"/>
        <w:rPr>
          <w:lang w:val="uk-UA"/>
        </w:rPr>
      </w:pPr>
      <w:r>
        <w:rPr>
          <w:sz w:val="28"/>
          <w:szCs w:val="28"/>
          <w:lang w:val="uk-UA"/>
        </w:rPr>
        <w:t>від __________ № ___</w:t>
      </w:r>
      <w:r/>
    </w:p>
    <w:p>
      <w:pPr>
        <w:pStyle w:val="Normal"/>
        <w:jc w:val="center"/>
        <w:rPr>
          <w:sz w:val="28"/>
          <w:sz w:val="28"/>
          <w:szCs w:val="28"/>
          <w:rFonts w:ascii="Times New Roman" w:hAnsi="Times New Roman" w:eastAsia="Times New Roman" w:cs="Times New Roman"/>
          <w:color w:val="00000A"/>
          <w:lang w:val="uk-UA" w:eastAsia="zh-CN" w:bidi="ar-SA"/>
        </w:rPr>
      </w:pPr>
      <w:r>
        <w:rPr>
          <w:rFonts w:eastAsia="Times New Roman" w:cs="Times New Roman"/>
          <w:color w:val="00000A"/>
          <w:sz w:val="28"/>
          <w:szCs w:val="28"/>
          <w:lang w:val="uk-UA" w:eastAsia="zh-CN" w:bidi="ar-SA"/>
        </w:rPr>
      </w:r>
      <w:r/>
    </w:p>
    <w:p>
      <w:pPr>
        <w:pStyle w:val="Normal"/>
        <w:jc w:val="center"/>
        <w:rPr>
          <w:lang w:val="uk-UA"/>
        </w:rPr>
      </w:pPr>
      <w:r>
        <w:rPr>
          <w:lang w:val="uk-UA"/>
        </w:rPr>
        <w:tab/>
      </w:r>
      <w:r>
        <w:rPr>
          <w:rFonts w:eastAsia="Times New Roman CYR" w:cs="Times New Roman CYR" w:ascii="Times New Roman CYR" w:hAnsi="Times New Roman CYR"/>
          <w:b/>
          <w:bCs/>
          <w:sz w:val="28"/>
          <w:szCs w:val="28"/>
          <w:lang w:val="uk-UA"/>
        </w:rPr>
        <w:t>Заходи щодо підготовки та проведення призову громадян</w:t>
      </w:r>
      <w:r/>
    </w:p>
    <w:p>
      <w:pPr>
        <w:pStyle w:val="Normal"/>
        <w:jc w:val="center"/>
        <w:rPr>
          <w:sz w:val="28"/>
          <w:b/>
          <w:sz w:val="28"/>
          <w:b/>
          <w:szCs w:val="28"/>
          <w:bCs/>
          <w:rFonts w:ascii="Times New Roman CYR" w:hAnsi="Times New Roman CYR" w:eastAsia="Times New Roman CYR" w:cs="Times New Roman CYR"/>
          <w:lang w:val="uk-UA"/>
        </w:rPr>
      </w:pPr>
      <w:r>
        <w:rPr>
          <w:rFonts w:eastAsia="Times New Roman CYR" w:cs="Times New Roman CYR" w:ascii="Times New Roman CYR" w:hAnsi="Times New Roman CYR"/>
          <w:b/>
          <w:bCs/>
          <w:sz w:val="28"/>
          <w:szCs w:val="28"/>
          <w:lang w:val="uk-UA"/>
        </w:rPr>
        <w:t xml:space="preserve">на строкову військову службу у 2021 році    </w:t>
      </w:r>
      <w:r/>
    </w:p>
    <w:p>
      <w:pPr>
        <w:pStyle w:val="Normal"/>
        <w:jc w:val="center"/>
        <w:rPr>
          <w:sz w:val="20"/>
          <w:b/>
          <w:sz w:val="20"/>
          <w:b/>
          <w:szCs w:val="20"/>
          <w:bCs/>
          <w:rFonts w:ascii="Times New Roman" w:hAnsi="Times New Roman" w:eastAsia="Times New Roman" w:cs="Times New Roman"/>
          <w:color w:val="00000A"/>
          <w:lang w:val="ru-RU" w:eastAsia="zh-CN" w:bidi="ar-SA"/>
        </w:rPr>
      </w:pPr>
      <w:r>
        <w:rPr>
          <w:rFonts w:eastAsia="Times New Roman" w:cs="Times New Roman"/>
          <w:b/>
          <w:bCs/>
          <w:color w:val="00000A"/>
          <w:sz w:val="20"/>
          <w:szCs w:val="20"/>
          <w:lang w:val="ru-RU" w:eastAsia="zh-CN" w:bidi="ar-SA"/>
        </w:rPr>
      </w:r>
      <w:r/>
    </w:p>
    <w:p>
      <w:pPr>
        <w:pStyle w:val="Normal"/>
        <w:jc w:val="both"/>
        <w:rPr>
          <w:sz w:val="28"/>
          <w:sz w:val="28"/>
          <w:szCs w:val="28"/>
          <w:lang w:val="uk-UA"/>
        </w:rPr>
      </w:pPr>
      <w:r>
        <w:rPr>
          <w:sz w:val="28"/>
          <w:szCs w:val="28"/>
          <w:lang w:val="uk-UA"/>
        </w:rPr>
        <w:tab/>
        <w:t>1. Мукачівському районному територіальному центру комплектування та соціальної підтримки спільно з виконавчим комітетом Мукачівської міської ради:</w:t>
      </w:r>
      <w:r/>
    </w:p>
    <w:p>
      <w:pPr>
        <w:pStyle w:val="Normal"/>
        <w:jc w:val="both"/>
        <w:rPr>
          <w:sz w:val="28"/>
          <w:sz w:val="28"/>
          <w:szCs w:val="28"/>
          <w:lang w:val="uk-UA"/>
        </w:rPr>
      </w:pPr>
      <w:r>
        <w:rPr>
          <w:sz w:val="28"/>
          <w:szCs w:val="28"/>
          <w:lang w:val="uk-UA"/>
        </w:rPr>
        <w:tab/>
        <w:t>1.1. Проаналізувати результати попереднього призову громадян на строкову військову службу та вжити заход</w:t>
      </w:r>
      <w:r>
        <w:rPr>
          <w:sz w:val="28"/>
          <w:szCs w:val="28"/>
          <w:lang w:val="uk-UA"/>
        </w:rPr>
        <w:t>и</w:t>
      </w:r>
      <w:r>
        <w:rPr>
          <w:sz w:val="28"/>
          <w:szCs w:val="28"/>
          <w:lang w:val="uk-UA"/>
        </w:rPr>
        <w:t xml:space="preserve"> для вдосконалення роботи щодо підготовки молоді до служби у Збройних Силах України та інших військових формуваннях, утворених згідно із законами України.</w:t>
      </w:r>
      <w:r/>
    </w:p>
    <w:p>
      <w:pPr>
        <w:pStyle w:val="Normal"/>
        <w:jc w:val="both"/>
        <w:rPr>
          <w:sz w:val="28"/>
          <w:sz w:val="28"/>
          <w:szCs w:val="28"/>
          <w:lang w:val="uk-UA"/>
        </w:rPr>
      </w:pPr>
      <w:r>
        <w:rPr>
          <w:sz w:val="28"/>
          <w:szCs w:val="28"/>
          <w:lang w:val="uk-UA"/>
        </w:rPr>
        <w:tab/>
        <w:t>1.2.  Призов  громадян на строкову військову службу провести з 01 жовтня по 31 грудня 2021 року. Явці на призовну дільницю Мукачівського районного територіального центру комплектування та соціальної підтримки для призову на строкову військову службу підлягають громадяни 1994-2003 років народження, у яких закінчилась відстрочка від призову або які не призвані раніше на строкову військову службу.</w:t>
      </w:r>
      <w:r/>
    </w:p>
    <w:p>
      <w:pPr>
        <w:pStyle w:val="Normal"/>
        <w:ind w:firstLine="540"/>
        <w:jc w:val="both"/>
        <w:rPr>
          <w:sz w:val="28"/>
          <w:sz w:val="28"/>
          <w:szCs w:val="28"/>
          <w:lang w:val="uk-UA"/>
        </w:rPr>
      </w:pPr>
      <w:r>
        <w:rPr>
          <w:sz w:val="28"/>
          <w:szCs w:val="28"/>
          <w:lang w:val="uk-UA"/>
        </w:rPr>
        <w:t xml:space="preserve">2. </w:t>
      </w:r>
      <w:r>
        <w:rPr>
          <w:spacing w:val="-8"/>
          <w:sz w:val="28"/>
          <w:szCs w:val="28"/>
          <w:lang w:val="uk-UA" w:eastAsia="ru-RU"/>
        </w:rPr>
        <w:t>Директору комунального некомерційного підприємства «Мукачівська центральна районна лікарня (Є.Мешко)</w:t>
      </w:r>
      <w:r>
        <w:rPr>
          <w:sz w:val="28"/>
          <w:szCs w:val="28"/>
          <w:lang w:val="uk-UA"/>
        </w:rPr>
        <w:t>: організувати роботу медичної комісії на збірному пункті для проведення медичного огляду призовників, укомплектувати її досвідченими спеціалістами та необхідним обладнанням, у жовтні-грудні 2021 року.</w:t>
      </w:r>
      <w:r/>
    </w:p>
    <w:p>
      <w:pPr>
        <w:pStyle w:val="Normal"/>
        <w:tabs>
          <w:tab w:val="left" w:pos="851" w:leader="none"/>
        </w:tabs>
        <w:ind w:firstLine="540"/>
        <w:jc w:val="both"/>
        <w:rPr>
          <w:sz w:val="28"/>
          <w:sz w:val="28"/>
          <w:szCs w:val="28"/>
          <w:lang w:val="uk-UA"/>
        </w:rPr>
      </w:pPr>
      <w:r>
        <w:rPr>
          <w:sz w:val="28"/>
          <w:szCs w:val="28"/>
          <w:lang w:val="uk-UA"/>
        </w:rPr>
        <w:t>3. Керівникам підприємств, установ, організацій, у тому числі закладів освіти, незалежно від підпорядкування і форми власності, управителів багатоквартирних будинків, власників будинків:</w:t>
      </w:r>
      <w:r/>
    </w:p>
    <w:p>
      <w:pPr>
        <w:pStyle w:val="Normal"/>
        <w:ind w:firstLine="567"/>
        <w:jc w:val="both"/>
        <w:rPr>
          <w:sz w:val="28"/>
          <w:sz w:val="28"/>
          <w:szCs w:val="28"/>
          <w:lang w:val="uk-UA"/>
        </w:rPr>
      </w:pPr>
      <w:bookmarkStart w:id="0" w:name="_GoBack"/>
      <w:bookmarkEnd w:id="0"/>
      <w:r>
        <w:rPr>
          <w:sz w:val="28"/>
          <w:szCs w:val="28"/>
          <w:lang w:val="uk-UA"/>
        </w:rPr>
        <w:t>3.1. Забезпечити оповіщення на вимогу Мукачівського районного територіального центру комплектування та соціальної підтримки призовників, які підлягають призову на строкову військову службу.</w:t>
      </w:r>
      <w:r/>
    </w:p>
    <w:p>
      <w:pPr>
        <w:pStyle w:val="Normal"/>
        <w:ind w:firstLine="540"/>
        <w:jc w:val="both"/>
        <w:rPr>
          <w:sz w:val="28"/>
          <w:sz w:val="28"/>
          <w:szCs w:val="28"/>
          <w:lang w:val="uk-UA"/>
        </w:rPr>
      </w:pPr>
      <w:bookmarkStart w:id="1" w:name="_GoBack"/>
      <w:bookmarkEnd w:id="1"/>
      <w:r>
        <w:rPr>
          <w:sz w:val="28"/>
          <w:szCs w:val="28"/>
          <w:lang w:val="uk-UA"/>
        </w:rPr>
        <w:t>3.2. Призначити відповідальних осіб за оповіщення призовників, які підлягають призову.</w:t>
      </w:r>
      <w:r/>
    </w:p>
    <w:p>
      <w:pPr>
        <w:pStyle w:val="Normal"/>
        <w:tabs>
          <w:tab w:val="left" w:pos="1134" w:leader="none"/>
        </w:tabs>
        <w:ind w:firstLine="540"/>
        <w:jc w:val="both"/>
        <w:rPr>
          <w:sz w:val="28"/>
          <w:sz w:val="28"/>
          <w:szCs w:val="28"/>
          <w:lang w:val="uk-UA"/>
        </w:rPr>
      </w:pPr>
      <w:r>
        <w:rPr>
          <w:sz w:val="28"/>
          <w:szCs w:val="28"/>
          <w:lang w:val="uk-UA"/>
        </w:rPr>
        <w:t>4. Рекомендувати Мукачівському районному управлінню поліції Головного управління Національної поліції в Закарпатській області:</w:t>
      </w:r>
      <w:r/>
    </w:p>
    <w:p>
      <w:pPr>
        <w:pStyle w:val="Normal"/>
        <w:ind w:firstLine="567"/>
        <w:jc w:val="both"/>
        <w:rPr>
          <w:sz w:val="28"/>
          <w:sz w:val="28"/>
          <w:szCs w:val="28"/>
          <w:lang w:val="uk-UA"/>
        </w:rPr>
      </w:pPr>
      <w:r>
        <w:rPr>
          <w:sz w:val="28"/>
          <w:szCs w:val="28"/>
          <w:lang w:val="uk-UA"/>
        </w:rPr>
        <w:t>4.1. За поданням начальника Мукачівського районного територіального центру комплектування та соціальної підтримки проводити розшук, затримання і доставку до Мукачівського районного територіального центру комплектування та соціальної підтримки громадян, які ухиляються від виконання військового обов’язку.</w:t>
      </w:r>
      <w:r/>
    </w:p>
    <w:p>
      <w:pPr>
        <w:pStyle w:val="Normal"/>
        <w:ind w:firstLine="540"/>
        <w:jc w:val="both"/>
        <w:rPr>
          <w:sz w:val="28"/>
          <w:sz w:val="28"/>
          <w:szCs w:val="28"/>
          <w:lang w:val="uk-UA"/>
        </w:rPr>
      </w:pPr>
      <w:r>
        <w:rPr>
          <w:sz w:val="28"/>
          <w:szCs w:val="28"/>
          <w:lang w:val="uk-UA"/>
        </w:rPr>
        <w:t>4.2. В дні засідань призовної комісії та в дні відправлення призовників в період з 01 жовтня по 31 грудня 2021 року, призначати наряд працівників Мукачівського районного управління поліції Головного управління Національної поліції в Закарпатській області для чергування на призовній дільниці з метою підтримання правопорядку серед призовників.</w:t>
      </w:r>
      <w:r/>
    </w:p>
    <w:p>
      <w:pPr>
        <w:pStyle w:val="Normal"/>
        <w:ind w:firstLine="567"/>
        <w:jc w:val="both"/>
        <w:rPr>
          <w:sz w:val="28"/>
          <w:sz w:val="28"/>
          <w:szCs w:val="28"/>
          <w:lang w:val="uk-UA"/>
        </w:rPr>
      </w:pPr>
      <w:r>
        <w:rPr>
          <w:sz w:val="28"/>
          <w:szCs w:val="28"/>
          <w:lang w:val="uk-UA"/>
        </w:rPr>
        <w:t>5. Управлінню освіти, культури молоді та спорту  Мукачівської міської ради (К.Кришінець-Андялошій): для підготовки до призову на строкову військову службу провести спартакіади серед призовної молоді з військово-прикладних видів спорту з урахуванням карантинних обмежень.</w:t>
      </w:r>
      <w:r/>
    </w:p>
    <w:p>
      <w:pPr>
        <w:pStyle w:val="Normal"/>
        <w:ind w:firstLine="540"/>
        <w:jc w:val="both"/>
        <w:rPr>
          <w:sz w:val="28"/>
          <w:sz w:val="28"/>
          <w:szCs w:val="28"/>
          <w:lang w:val="uk-UA"/>
        </w:rPr>
      </w:pPr>
      <w:r>
        <w:rPr>
          <w:sz w:val="28"/>
          <w:szCs w:val="28"/>
          <w:lang w:val="uk-UA"/>
        </w:rPr>
        <w:t>6. Рекомендувати керівникам засобів масової інформації (ТРК “М-Студіо”, газета “Мукачево”) довести інформацію до мешканців Мукачівської міської територіальної громади щодо проведення призову на військову строкову службу та необхідності прибуття призовників до Мукачівського районного територіального центру комплектування та соціальної підтримки для проходження ними призовної комісії.</w:t>
      </w:r>
      <w:r/>
    </w:p>
    <w:p>
      <w:pPr>
        <w:pStyle w:val="Normal"/>
        <w:ind w:firstLine="567"/>
        <w:jc w:val="both"/>
        <w:rPr>
          <w:sz w:val="28"/>
          <w:sz w:val="28"/>
          <w:szCs w:val="28"/>
          <w:lang w:val="uk-UA"/>
        </w:rPr>
      </w:pPr>
      <w:r>
        <w:rPr>
          <w:sz w:val="28"/>
          <w:szCs w:val="28"/>
          <w:lang w:val="uk-UA"/>
        </w:rPr>
        <w:t>7. Рекомендувати начальнику Мукачівського районного територіального центру комплектування та соціальної підтримки про підсумки проведення призовів на строкову службу проінформувати виконавчий комітет Мукачівської міської ради до 15 січня 2022 року.</w:t>
      </w:r>
      <w:r/>
    </w:p>
    <w:p>
      <w:pPr>
        <w:pStyle w:val="Normal"/>
        <w:ind w:firstLine="540"/>
        <w:jc w:val="both"/>
        <w:rPr>
          <w:sz w:val="28"/>
          <w:sz w:val="28"/>
          <w:szCs w:val="28"/>
          <w:rFonts w:ascii="Times New Roman" w:hAnsi="Times New Roman" w:eastAsia="Times New Roman" w:cs="Times New Roman"/>
          <w:color w:val="00000A"/>
          <w:lang w:val="uk-UA" w:eastAsia="zh-CN" w:bidi="ar-SA"/>
        </w:rPr>
      </w:pPr>
      <w:r>
        <w:rPr>
          <w:rFonts w:eastAsia="Times New Roman" w:cs="Times New Roman"/>
          <w:color w:val="00000A"/>
          <w:sz w:val="28"/>
          <w:szCs w:val="28"/>
          <w:lang w:val="uk-UA" w:eastAsia="zh-CN" w:bidi="ar-SA"/>
        </w:rPr>
      </w:r>
      <w:r/>
    </w:p>
    <w:p>
      <w:pPr>
        <w:pStyle w:val="Normal"/>
        <w:ind w:firstLine="540"/>
        <w:jc w:val="both"/>
        <w:rPr>
          <w:sz w:val="28"/>
          <w:sz w:val="28"/>
          <w:szCs w:val="28"/>
          <w:rFonts w:ascii="Times New Roman" w:hAnsi="Times New Roman" w:eastAsia="Times New Roman" w:cs="Times New Roman"/>
          <w:color w:val="00000A"/>
          <w:lang w:val="uk-UA" w:eastAsia="zh-CN" w:bidi="ar-SA"/>
        </w:rPr>
      </w:pPr>
      <w:r>
        <w:rPr>
          <w:rFonts w:eastAsia="Times New Roman" w:cs="Times New Roman"/>
          <w:color w:val="00000A"/>
          <w:sz w:val="28"/>
          <w:szCs w:val="28"/>
          <w:lang w:val="uk-UA" w:eastAsia="zh-CN" w:bidi="ar-SA"/>
        </w:rPr>
      </w:r>
      <w:r/>
    </w:p>
    <w:p>
      <w:pPr>
        <w:pStyle w:val="Normal"/>
        <w:jc w:val="both"/>
        <w:rPr>
          <w:sz w:val="28"/>
          <w:b/>
          <w:sz w:val="28"/>
          <w:b/>
          <w:szCs w:val="28"/>
          <w:bCs/>
          <w:rFonts w:ascii="Times New Roman CYR" w:hAnsi="Times New Roman CYR" w:cs="Times New Roman CYR"/>
          <w:lang w:val="uk-UA"/>
        </w:rPr>
      </w:pPr>
      <w:r>
        <w:rPr>
          <w:rFonts w:cs="Times New Roman CYR" w:ascii="Times New Roman CYR" w:hAnsi="Times New Roman CYR"/>
          <w:b/>
          <w:bCs/>
          <w:sz w:val="28"/>
          <w:szCs w:val="28"/>
          <w:lang w:val="uk-UA"/>
        </w:rPr>
        <w:t>Керуючий справами виконавчого комітету                                  О. ЛЕНДЄЛ</w:t>
      </w:r>
      <w:r/>
    </w:p>
    <w:p>
      <w:pPr>
        <w:pStyle w:val="Normal"/>
        <w:jc w:val="both"/>
        <w:rPr>
          <w:sz w:val="28"/>
          <w:b/>
          <w:sz w:val="28"/>
          <w:b/>
          <w:szCs w:val="28"/>
          <w:bCs/>
          <w:rFonts w:ascii="Times New Roman CYR" w:hAnsi="Times New Roman CYR" w:cs="Times New Roman CYR"/>
          <w:lang w:val="uk-UA"/>
        </w:rPr>
      </w:pPr>
      <w:r>
        <w:rPr>
          <w:rFonts w:cs="Times New Roman CYR" w:ascii="Times New Roman CYR" w:hAnsi="Times New Roman CYR"/>
          <w:b/>
          <w:bCs/>
          <w:sz w:val="28"/>
          <w:szCs w:val="28"/>
          <w:lang w:val="uk-UA"/>
        </w:rPr>
        <w:t>Мукачівської міської ради</w:t>
      </w:r>
      <w:r/>
    </w:p>
    <w:p>
      <w:pPr>
        <w:pStyle w:val="Normal"/>
        <w:tabs>
          <w:tab w:val="left" w:pos="1134" w:leader="none"/>
        </w:tabs>
        <w:ind w:firstLine="540"/>
        <w:jc w:val="both"/>
        <w:rPr>
          <w:sz w:val="16"/>
          <w:sz w:val="16"/>
          <w:szCs w:val="16"/>
          <w:rFonts w:ascii="Times New Roman" w:hAnsi="Times New Roman" w:eastAsia="Times New Roman" w:cs="Times New Roman"/>
          <w:color w:val="00000A"/>
          <w:lang w:val="uk-UA" w:eastAsia="zh-CN" w:bidi="ar-SA"/>
        </w:rPr>
      </w:pPr>
      <w:r>
        <w:rPr>
          <w:rFonts w:eastAsia="Times New Roman" w:cs="Times New Roman"/>
          <w:color w:val="00000A"/>
          <w:sz w:val="16"/>
          <w:szCs w:val="16"/>
          <w:lang w:val="uk-UA" w:eastAsia="zh-CN" w:bidi="ar-SA"/>
        </w:rPr>
      </w:r>
      <w:r/>
    </w:p>
    <w:p>
      <w:pPr>
        <w:pStyle w:val="Normal"/>
        <w:tabs>
          <w:tab w:val="left" w:pos="1134" w:leader="none"/>
        </w:tabs>
        <w:ind w:firstLine="540"/>
        <w:jc w:val="both"/>
        <w:rPr>
          <w:sz w:val="16"/>
          <w:sz w:val="16"/>
          <w:szCs w:val="16"/>
          <w:rFonts w:ascii="Times New Roman" w:hAnsi="Times New Roman" w:eastAsia="Times New Roman" w:cs="Times New Roman"/>
          <w:color w:val="00000A"/>
          <w:lang w:val="uk-UA" w:eastAsia="zh-CN" w:bidi="ar-SA"/>
        </w:rPr>
      </w:pPr>
      <w:r>
        <w:rPr>
          <w:rFonts w:eastAsia="Times New Roman" w:cs="Times New Roman"/>
          <w:color w:val="00000A"/>
          <w:sz w:val="16"/>
          <w:szCs w:val="16"/>
          <w:lang w:val="uk-UA" w:eastAsia="zh-CN" w:bidi="ar-SA"/>
        </w:rPr>
      </w:r>
      <w:r/>
    </w:p>
    <w:p>
      <w:pPr>
        <w:pStyle w:val="Normal"/>
        <w:tabs>
          <w:tab w:val="left" w:pos="1134" w:leader="none"/>
        </w:tabs>
        <w:ind w:firstLine="540"/>
        <w:jc w:val="both"/>
        <w:rPr>
          <w:sz w:val="16"/>
          <w:sz w:val="16"/>
          <w:szCs w:val="16"/>
          <w:rFonts w:ascii="Times New Roman" w:hAnsi="Times New Roman" w:eastAsia="Times New Roman" w:cs="Times New Roman"/>
          <w:color w:val="00000A"/>
          <w:lang w:val="uk-UA" w:eastAsia="zh-CN" w:bidi="ar-SA"/>
        </w:rPr>
      </w:pPr>
      <w:r>
        <w:rPr>
          <w:rFonts w:eastAsia="Times New Roman" w:cs="Times New Roman"/>
          <w:color w:val="00000A"/>
          <w:sz w:val="16"/>
          <w:szCs w:val="16"/>
          <w:lang w:val="uk-UA" w:eastAsia="zh-CN" w:bidi="ar-SA"/>
        </w:rPr>
      </w:r>
      <w:r/>
    </w:p>
    <w:p>
      <w:pPr>
        <w:pStyle w:val="Normal"/>
        <w:tabs>
          <w:tab w:val="left" w:pos="1134" w:leader="none"/>
        </w:tabs>
        <w:ind w:firstLine="540"/>
        <w:jc w:val="both"/>
        <w:rPr>
          <w:sz w:val="16"/>
          <w:sz w:val="16"/>
          <w:szCs w:val="16"/>
          <w:rFonts w:ascii="Times New Roman" w:hAnsi="Times New Roman" w:eastAsia="Times New Roman" w:cs="Times New Roman"/>
          <w:color w:val="00000A"/>
          <w:lang w:val="uk-UA" w:eastAsia="zh-CN" w:bidi="ar-SA"/>
        </w:rPr>
      </w:pPr>
      <w:r>
        <w:rPr>
          <w:rFonts w:eastAsia="Times New Roman" w:cs="Times New Roman"/>
          <w:color w:val="00000A"/>
          <w:sz w:val="16"/>
          <w:szCs w:val="16"/>
          <w:lang w:val="uk-UA" w:eastAsia="zh-CN" w:bidi="ar-SA"/>
        </w:rPr>
      </w:r>
      <w:r/>
    </w:p>
    <w:p>
      <w:pPr>
        <w:pStyle w:val="Normal"/>
        <w:tabs>
          <w:tab w:val="left" w:pos="1134" w:leader="none"/>
        </w:tabs>
        <w:ind w:firstLine="540"/>
        <w:jc w:val="both"/>
        <w:rPr>
          <w:sz w:val="16"/>
          <w:sz w:val="16"/>
          <w:szCs w:val="16"/>
          <w:rFonts w:ascii="Times New Roman" w:hAnsi="Times New Roman" w:eastAsia="Times New Roman" w:cs="Times New Roman"/>
          <w:color w:val="00000A"/>
          <w:lang w:val="uk-UA" w:eastAsia="zh-CN" w:bidi="ar-SA"/>
        </w:rPr>
      </w:pPr>
      <w:r>
        <w:rPr>
          <w:rFonts w:eastAsia="Times New Roman" w:cs="Times New Roman"/>
          <w:color w:val="00000A"/>
          <w:sz w:val="16"/>
          <w:szCs w:val="16"/>
          <w:lang w:val="uk-UA" w:eastAsia="zh-CN" w:bidi="ar-SA"/>
        </w:rPr>
      </w:r>
      <w:r/>
    </w:p>
    <w:p>
      <w:pPr>
        <w:pStyle w:val="Normal"/>
        <w:tabs>
          <w:tab w:val="left" w:pos="1134" w:leader="none"/>
        </w:tabs>
        <w:ind w:firstLine="540"/>
        <w:jc w:val="both"/>
        <w:rPr>
          <w:sz w:val="16"/>
          <w:sz w:val="16"/>
          <w:szCs w:val="16"/>
          <w:rFonts w:ascii="Times New Roman" w:hAnsi="Times New Roman" w:eastAsia="Times New Roman" w:cs="Times New Roman"/>
          <w:color w:val="00000A"/>
          <w:lang w:val="uk-UA" w:eastAsia="zh-CN" w:bidi="ar-SA"/>
        </w:rPr>
      </w:pPr>
      <w:r>
        <w:rPr>
          <w:rFonts w:eastAsia="Times New Roman" w:cs="Times New Roman"/>
          <w:color w:val="00000A"/>
          <w:sz w:val="16"/>
          <w:szCs w:val="16"/>
          <w:lang w:val="uk-UA" w:eastAsia="zh-CN" w:bidi="ar-SA"/>
        </w:rPr>
      </w:r>
      <w:r/>
    </w:p>
    <w:p>
      <w:pPr>
        <w:pStyle w:val="Normal"/>
        <w:tabs>
          <w:tab w:val="left" w:pos="1134" w:leader="none"/>
        </w:tabs>
        <w:ind w:firstLine="540"/>
        <w:jc w:val="both"/>
        <w:rPr>
          <w:sz w:val="16"/>
          <w:sz w:val="16"/>
          <w:szCs w:val="16"/>
          <w:rFonts w:ascii="Times New Roman" w:hAnsi="Times New Roman" w:eastAsia="Times New Roman" w:cs="Times New Roman"/>
          <w:color w:val="00000A"/>
          <w:lang w:val="uk-UA" w:eastAsia="zh-CN" w:bidi="ar-SA"/>
        </w:rPr>
      </w:pPr>
      <w:r>
        <w:rPr>
          <w:rFonts w:eastAsia="Times New Roman" w:cs="Times New Roman"/>
          <w:color w:val="00000A"/>
          <w:sz w:val="16"/>
          <w:szCs w:val="16"/>
          <w:lang w:val="uk-UA" w:eastAsia="zh-CN" w:bidi="ar-SA"/>
        </w:rPr>
      </w:r>
      <w:r/>
    </w:p>
    <w:p>
      <w:pPr>
        <w:pStyle w:val="Normal"/>
        <w:tabs>
          <w:tab w:val="left" w:pos="1134" w:leader="none"/>
        </w:tabs>
        <w:ind w:firstLine="540"/>
        <w:jc w:val="both"/>
        <w:rPr>
          <w:sz w:val="16"/>
          <w:sz w:val="16"/>
          <w:szCs w:val="16"/>
          <w:rFonts w:ascii="Times New Roman" w:hAnsi="Times New Roman" w:eastAsia="Times New Roman" w:cs="Times New Roman"/>
          <w:color w:val="00000A"/>
          <w:lang w:val="uk-UA" w:eastAsia="zh-CN" w:bidi="ar-SA"/>
        </w:rPr>
      </w:pPr>
      <w:r>
        <w:rPr>
          <w:rFonts w:eastAsia="Times New Roman" w:cs="Times New Roman"/>
          <w:color w:val="00000A"/>
          <w:sz w:val="16"/>
          <w:szCs w:val="16"/>
          <w:lang w:val="uk-UA" w:eastAsia="zh-CN" w:bidi="ar-SA"/>
        </w:rPr>
      </w:r>
      <w:r/>
    </w:p>
    <w:p>
      <w:pPr>
        <w:pStyle w:val="Normal"/>
        <w:tabs>
          <w:tab w:val="left" w:pos="1134" w:leader="none"/>
        </w:tabs>
        <w:ind w:firstLine="540"/>
        <w:jc w:val="both"/>
        <w:rPr>
          <w:sz w:val="16"/>
          <w:sz w:val="16"/>
          <w:szCs w:val="16"/>
          <w:rFonts w:ascii="Times New Roman" w:hAnsi="Times New Roman" w:eastAsia="Times New Roman" w:cs="Times New Roman"/>
          <w:color w:val="00000A"/>
          <w:lang w:val="uk-UA" w:eastAsia="zh-CN" w:bidi="ar-SA"/>
        </w:rPr>
      </w:pPr>
      <w:r>
        <w:rPr>
          <w:rFonts w:eastAsia="Times New Roman" w:cs="Times New Roman"/>
          <w:color w:val="00000A"/>
          <w:sz w:val="16"/>
          <w:szCs w:val="16"/>
          <w:lang w:val="uk-UA" w:eastAsia="zh-CN" w:bidi="ar-SA"/>
        </w:rPr>
      </w:r>
      <w:r/>
    </w:p>
    <w:p>
      <w:pPr>
        <w:pStyle w:val="Normal"/>
        <w:tabs>
          <w:tab w:val="left" w:pos="1134" w:leader="none"/>
        </w:tabs>
        <w:ind w:firstLine="540"/>
        <w:jc w:val="both"/>
        <w:rPr>
          <w:sz w:val="16"/>
          <w:sz w:val="16"/>
          <w:szCs w:val="16"/>
          <w:rFonts w:ascii="Times New Roman" w:hAnsi="Times New Roman" w:eastAsia="Times New Roman" w:cs="Times New Roman"/>
          <w:color w:val="00000A"/>
          <w:lang w:val="uk-UA" w:eastAsia="zh-CN" w:bidi="ar-SA"/>
        </w:rPr>
      </w:pPr>
      <w:r>
        <w:rPr>
          <w:rFonts w:eastAsia="Times New Roman" w:cs="Times New Roman"/>
          <w:color w:val="00000A"/>
          <w:sz w:val="16"/>
          <w:szCs w:val="16"/>
          <w:lang w:val="uk-UA" w:eastAsia="zh-CN" w:bidi="ar-SA"/>
        </w:rPr>
      </w:r>
      <w:r/>
    </w:p>
    <w:p>
      <w:pPr>
        <w:pStyle w:val="Normal"/>
        <w:rPr>
          <w:sz w:val="24"/>
          <w:sz w:val="24"/>
          <w:szCs w:val="24"/>
          <w:rFonts w:ascii="Times New Roman" w:hAnsi="Times New Roman" w:eastAsia="Andale Sans UI" w:cs="Tahoma"/>
          <w:lang w:val="en-US" w:bidi="en-US"/>
        </w:rPr>
      </w:pPr>
      <w:r>
        <w:rPr/>
      </w:r>
      <w:r/>
    </w:p>
    <w:sectPr>
      <w:type w:val="nextPage"/>
      <w:pgSz w:w="11906" w:h="16838"/>
      <w:pgMar w:left="1701" w:right="567"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swiss"/>
    <w:pitch w:val="variable"/>
  </w:font>
  <w:font w:name="Times New Roman CYR">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pacing w:lineRule="auto" w:line="256"/>
      </w:pPr>
    </w:pPrDefault>
  </w:docDefaults>
  <w:latentStyles w:count="371"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customStyle="1">
    <w:name w:val="Normal"/>
    <w:rsid w:val="004277b6"/>
    <w:pPr>
      <w:widowControl w:val="false"/>
      <w:suppressAutoHyphens w:val="true"/>
      <w:bidi w:val="0"/>
      <w:spacing w:lineRule="auto" w:line="240" w:before="0" w:after="0"/>
      <w:jc w:val="left"/>
      <w:textAlignment w:val="baseline"/>
    </w:pPr>
    <w:rPr>
      <w:rFonts w:ascii="Times New Roman" w:hAnsi="Times New Roman" w:eastAsia="Andale Sans UI" w:cs="Tahoma"/>
      <w:color w:val="auto"/>
      <w:sz w:val="24"/>
      <w:szCs w:val="24"/>
      <w:lang w:val="en-US" w:bidi="en-US" w:eastAsia="en-US"/>
    </w:rPr>
  </w:style>
  <w:style w:type="character" w:styleId="DefaultParagraphFont" w:default="1">
    <w:name w:val="Default Paragraph Font"/>
    <w:uiPriority w:val="1"/>
    <w:semiHidden/>
    <w:unhideWhenUsed/>
    <w:rPr/>
  </w:style>
  <w:style w:type="character" w:styleId="Style14" w:customStyle="1">
    <w:name w:val="Текст выноски Знак"/>
    <w:basedOn w:val="DefaultParagraphFont"/>
    <w:link w:val="a3"/>
    <w:uiPriority w:val="99"/>
    <w:semiHidden/>
    <w:rsid w:val="00f17bcc"/>
    <w:rPr>
      <w:rFonts w:ascii="Segoe UI" w:hAnsi="Segoe UI" w:cs="Segoe UI"/>
      <w:sz w:val="18"/>
      <w:szCs w:val="18"/>
    </w:rPr>
  </w:style>
  <w:style w:type="paragraph" w:styleId="Style15">
    <w:name w:val="Заголовок"/>
    <w:basedOn w:val="Normal"/>
    <w:next w:val="Style16"/>
    <w:pPr>
      <w:keepNext/>
      <w:spacing w:before="240" w:after="120"/>
    </w:pPr>
    <w:rPr>
      <w:rFonts w:ascii="Liberation Sans" w:hAnsi="Liberation Sans" w:eastAsia="Microsoft YaHei" w:cs="Mangal"/>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Mangal"/>
    </w:rPr>
  </w:style>
  <w:style w:type="paragraph" w:styleId="Style18">
    <w:name w:val="Название"/>
    <w:basedOn w:val="Normal"/>
    <w:pPr>
      <w:suppressLineNumbers/>
      <w:spacing w:before="120" w:after="120"/>
    </w:pPr>
    <w:rPr>
      <w:rFonts w:cs="Mangal"/>
      <w:i/>
      <w:iCs/>
      <w:sz w:val="24"/>
      <w:szCs w:val="24"/>
    </w:rPr>
  </w:style>
  <w:style w:type="paragraph" w:styleId="Style19">
    <w:name w:val="Указатель"/>
    <w:basedOn w:val="Normal"/>
    <w:pPr>
      <w:suppressLineNumbers/>
    </w:pPr>
    <w:rPr>
      <w:rFonts w:cs="Mangal"/>
    </w:rPr>
  </w:style>
  <w:style w:type="paragraph" w:styleId="BalloonText">
    <w:name w:val="Balloon Text"/>
    <w:basedOn w:val="Normal"/>
    <w:link w:val="a4"/>
    <w:uiPriority w:val="99"/>
    <w:semiHidden/>
    <w:unhideWhenUsed/>
    <w:rsid w:val="00f17bcc"/>
    <w:pPr>
      <w:spacing w:lineRule="auto" w:line="240" w:before="0" w:after="0"/>
    </w:pPr>
    <w:rPr>
      <w:rFonts w:ascii="Segoe UI" w:hAnsi="Segoe UI" w:cs="Segoe UI"/>
      <w:sz w:val="18"/>
      <w:szCs w:val="18"/>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Application>LibreOffice/4.3.5.2$Windows_x86 LibreOffice_project/3a87456aaa6a95c63eea1c1b3201acedf0751bd5</Application>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2021-08-09T08:39:00Z</dcterms:created>
  <dc:creator>Пользователь Windows</dc:creator>
  <dc:language>ru-RU</dc:language>
  <cp:lastPrinted>2021-08-18T07:26:00Z</cp:lastPrinted>
  <dcterms:modified xsi:type="dcterms:W3CDTF">2021-08-19T10:46:36Z</dcterms:modified>
  <cp:revision>36</cp:revision>
</cp:coreProperties>
</file>