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637C" w14:textId="329BAB11" w:rsidR="00976478" w:rsidRPr="00447CD9" w:rsidRDefault="00976478" w:rsidP="00976478">
      <w:pPr>
        <w:spacing w:after="0" w:line="240" w:lineRule="auto"/>
        <w:ind w:left="9354"/>
        <w:jc w:val="both"/>
        <w:textAlignment w:val="baseline"/>
        <w:rPr>
          <w:rFonts w:ascii="Times New Roman" w:hAnsi="Times New Roman"/>
        </w:rPr>
      </w:pPr>
      <w:bookmarkStart w:id="0" w:name="_Hlk86140122"/>
      <w:proofErr w:type="spellStart"/>
      <w:r w:rsidRPr="00447CD9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2</w:t>
      </w:r>
    </w:p>
    <w:p w14:paraId="12106AB3" w14:textId="77777777" w:rsidR="00976478" w:rsidRDefault="00976478" w:rsidP="00976478">
      <w:pPr>
        <w:spacing w:after="0" w:line="240" w:lineRule="auto"/>
        <w:ind w:left="9354"/>
        <w:textAlignment w:val="baseline"/>
        <w:rPr>
          <w:rFonts w:ascii="Times New Roman" w:eastAsia="SimSun" w:hAnsi="Times New Roman"/>
          <w:sz w:val="28"/>
          <w:szCs w:val="28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</w:p>
    <w:p w14:paraId="4D357F23" w14:textId="52E764BC" w:rsidR="00976478" w:rsidRPr="00447CD9" w:rsidRDefault="00976478" w:rsidP="00976478">
      <w:pPr>
        <w:spacing w:after="0" w:line="240" w:lineRule="auto"/>
        <w:ind w:left="9354"/>
        <w:textAlignment w:val="baseline"/>
        <w:rPr>
          <w:rFonts w:ascii="Times New Roman" w:hAnsi="Times New Roman"/>
        </w:rPr>
      </w:pPr>
      <w:r w:rsidRPr="00447CD9">
        <w:rPr>
          <w:rFonts w:ascii="Times New Roman" w:eastAsia="SimSun" w:hAnsi="Times New Roman"/>
          <w:sz w:val="28"/>
          <w:szCs w:val="28"/>
        </w:rPr>
        <w:t>на 2022-2024 роки</w:t>
      </w:r>
    </w:p>
    <w:p w14:paraId="185B3B8E" w14:textId="77777777" w:rsidR="00976478" w:rsidRPr="00447CD9" w:rsidRDefault="00976478" w:rsidP="00976478">
      <w:pPr>
        <w:spacing w:after="0" w:line="240" w:lineRule="auto"/>
        <w:jc w:val="center"/>
        <w:textAlignment w:val="baseline"/>
        <w:rPr>
          <w:rFonts w:ascii="Times New Roman" w:eastAsia="WenQuanYi Micro Hei" w:hAnsi="Times New Roman"/>
          <w:b/>
          <w:bCs/>
        </w:rPr>
      </w:pPr>
    </w:p>
    <w:p w14:paraId="7F088841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Перелік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заходів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завдань</w:t>
      </w:r>
      <w:proofErr w:type="spellEnd"/>
    </w:p>
    <w:p w14:paraId="0560255F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Програми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розвитку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культури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і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мистецтв</w:t>
      </w:r>
      <w:proofErr w:type="spellEnd"/>
    </w:p>
    <w:p w14:paraId="54865573" w14:textId="7777777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r w:rsidRPr="00EE2E3F">
        <w:rPr>
          <w:rFonts w:ascii="Times New Roman" w:eastAsia="WenQuanYi Micro Hei" w:hAnsi="Times New Roman"/>
          <w:sz w:val="28"/>
          <w:szCs w:val="28"/>
        </w:rPr>
        <w:t>на 2022-2024 роки</w:t>
      </w:r>
    </w:p>
    <w:p w14:paraId="4088EF80" w14:textId="77777777" w:rsidR="00976478" w:rsidRDefault="00976478" w:rsidP="00976478">
      <w:pPr>
        <w:spacing w:line="100" w:lineRule="atLeast"/>
        <w:textAlignment w:val="baseline"/>
        <w:rPr>
          <w:rFonts w:eastAsia="WenQuanYi Micro He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1462"/>
        <w:gridCol w:w="2506"/>
        <w:gridCol w:w="1243"/>
        <w:gridCol w:w="1418"/>
        <w:gridCol w:w="1559"/>
        <w:gridCol w:w="1134"/>
        <w:gridCol w:w="1134"/>
        <w:gridCol w:w="1051"/>
        <w:gridCol w:w="2619"/>
      </w:tblGrid>
      <w:tr w:rsidR="00976478" w:rsidRPr="00EE2E3F" w14:paraId="645051C8" w14:textId="77777777" w:rsidTr="00CB20FF"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8C9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№</w:t>
            </w:r>
          </w:p>
          <w:p w14:paraId="4931895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6DB9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Назва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напряму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</w:p>
          <w:p w14:paraId="686F4B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(</w:t>
            </w:r>
            <w:proofErr w:type="spellStart"/>
            <w:r w:rsidRPr="00EE2E3F">
              <w:rPr>
                <w:rFonts w:ascii="Times New Roman" w:hAnsi="Times New Roman"/>
              </w:rPr>
              <w:t>пріоритетні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завдання</w:t>
            </w:r>
            <w:proofErr w:type="spellEnd"/>
            <w:r w:rsidRPr="00EE2E3F">
              <w:rPr>
                <w:rFonts w:ascii="Times New Roman" w:hAnsi="Times New Roman"/>
              </w:rPr>
              <w:t>)</w:t>
            </w: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5792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Перелік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</w:p>
          <w:p w14:paraId="1CF62F0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5FEA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EE2E3F">
              <w:rPr>
                <w:rFonts w:ascii="Times New Roman" w:hAnsi="Times New Roman"/>
              </w:rPr>
              <w:t>виконання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7E6F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5AE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Джерела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фінансу-вання</w:t>
            </w:r>
            <w:proofErr w:type="spellEnd"/>
          </w:p>
        </w:tc>
        <w:tc>
          <w:tcPr>
            <w:tcW w:w="3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A640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Орієнтовні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обсяги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(</w:t>
            </w:r>
            <w:proofErr w:type="spellStart"/>
            <w:r w:rsidRPr="00EE2E3F">
              <w:rPr>
                <w:rFonts w:ascii="Times New Roman" w:hAnsi="Times New Roman"/>
              </w:rPr>
              <w:t>вартість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Pr="00EE2E3F">
              <w:rPr>
                <w:rFonts w:ascii="Times New Roman" w:hAnsi="Times New Roman"/>
              </w:rPr>
              <w:t>тис.грн</w:t>
            </w:r>
            <w:proofErr w:type="spellEnd"/>
            <w:r w:rsidRPr="00EE2E3F">
              <w:rPr>
                <w:rFonts w:ascii="Times New Roman" w:hAnsi="Times New Roman"/>
              </w:rPr>
              <w:t xml:space="preserve">., у тому </w:t>
            </w:r>
            <w:proofErr w:type="spellStart"/>
            <w:r w:rsidRPr="00EE2E3F">
              <w:rPr>
                <w:rFonts w:ascii="Times New Roman" w:hAnsi="Times New Roman"/>
              </w:rPr>
              <w:t>числі</w:t>
            </w:r>
            <w:proofErr w:type="spellEnd"/>
            <w:r w:rsidRPr="00EE2E3F">
              <w:rPr>
                <w:rFonts w:ascii="Times New Roman" w:hAnsi="Times New Roman"/>
              </w:rPr>
              <w:t>:</w:t>
            </w:r>
          </w:p>
        </w:tc>
        <w:tc>
          <w:tcPr>
            <w:tcW w:w="2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CD653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Очікуваний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</w:p>
          <w:p w14:paraId="13B00F8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результат</w:t>
            </w:r>
          </w:p>
        </w:tc>
      </w:tr>
      <w:tr w:rsidR="00976478" w:rsidRPr="00EE2E3F" w14:paraId="20C8FC55" w14:textId="77777777" w:rsidTr="00CB20FF">
        <w:tc>
          <w:tcPr>
            <w:tcW w:w="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5E582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68724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440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62A3A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D70D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E0DB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209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7B2E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2023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77D8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2024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2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822B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33F5557" w14:textId="77777777" w:rsidTr="00CB20FF">
        <w:trPr>
          <w:trHeight w:val="3631"/>
        </w:trPr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851C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A8E8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Культурно- </w:t>
            </w:r>
            <w:proofErr w:type="spellStart"/>
            <w:r w:rsidRPr="00EE2E3F">
              <w:rPr>
                <w:rFonts w:ascii="Times New Roman" w:hAnsi="Times New Roman"/>
              </w:rPr>
              <w:t>масова</w:t>
            </w:r>
            <w:proofErr w:type="spellEnd"/>
            <w:r w:rsidRPr="00EE2E3F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F2634" w14:textId="759DACB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основні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EE2E3F">
              <w:rPr>
                <w:rFonts w:ascii="Times New Roman" w:hAnsi="Times New Roman"/>
              </w:rPr>
              <w:t>річного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плану культурно-</w:t>
            </w:r>
            <w:proofErr w:type="spellStart"/>
            <w:r w:rsidRPr="00EE2E3F">
              <w:rPr>
                <w:rFonts w:ascii="Times New Roman" w:hAnsi="Times New Roman"/>
              </w:rPr>
              <w:t>масової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роботи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948C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1198A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10DE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01FB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B9D17B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A4248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</w:t>
            </w:r>
            <w:r w:rsidRPr="00EE2E3F">
              <w:rPr>
                <w:rFonts w:ascii="Times New Roman" w:hAnsi="Times New Roman"/>
                <w:lang w:val="uk-UA"/>
              </w:rPr>
              <w:t>75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19D60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406C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054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Збільшення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охоплення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 культурно</w:t>
            </w:r>
            <w:proofErr w:type="gramEnd"/>
            <w:r w:rsidRPr="00EE2E3F">
              <w:rPr>
                <w:rFonts w:ascii="Times New Roman" w:hAnsi="Times New Roman"/>
              </w:rPr>
              <w:t>-</w:t>
            </w:r>
            <w:proofErr w:type="spellStart"/>
            <w:r w:rsidRPr="00EE2E3F">
              <w:rPr>
                <w:rFonts w:ascii="Times New Roman" w:hAnsi="Times New Roman"/>
              </w:rPr>
              <w:t>мистецькими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заходами,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духовних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молодого </w:t>
            </w:r>
            <w:proofErr w:type="spellStart"/>
            <w:r w:rsidRPr="00EE2E3F">
              <w:rPr>
                <w:rFonts w:ascii="Times New Roman" w:hAnsi="Times New Roman"/>
              </w:rPr>
              <w:t>покоління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93417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потреби у </w:t>
            </w:r>
            <w:proofErr w:type="spellStart"/>
            <w:r w:rsidRPr="00EE2E3F">
              <w:rPr>
                <w:rFonts w:ascii="Times New Roman" w:hAnsi="Times New Roman"/>
              </w:rPr>
              <w:t>друкованих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та/</w:t>
            </w:r>
            <w:proofErr w:type="spellStart"/>
            <w:r w:rsidRPr="00EE2E3F">
              <w:rPr>
                <w:rFonts w:ascii="Times New Roman" w:hAnsi="Times New Roman"/>
              </w:rPr>
              <w:t>або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електронних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виданнях</w:t>
            </w:r>
            <w:proofErr w:type="spellEnd"/>
            <w:r w:rsidRPr="00EE2E3F">
              <w:rPr>
                <w:rFonts w:ascii="Times New Roman" w:hAnsi="Times New Roman"/>
              </w:rPr>
              <w:t xml:space="preserve"> про </w:t>
            </w:r>
            <w:proofErr w:type="spellStart"/>
            <w:r w:rsidRPr="00EE2E3F">
              <w:rPr>
                <w:rFonts w:ascii="Times New Roman" w:hAnsi="Times New Roman"/>
              </w:rPr>
              <w:t>Мукачівську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територіальну</w:t>
            </w:r>
            <w:proofErr w:type="spellEnd"/>
            <w:r w:rsidRPr="00EE2E3F">
              <w:rPr>
                <w:rFonts w:ascii="Times New Roman" w:hAnsi="Times New Roman"/>
              </w:rPr>
              <w:t xml:space="preserve"> громаду та </w:t>
            </w:r>
            <w:proofErr w:type="spellStart"/>
            <w:r w:rsidRPr="00EE2E3F">
              <w:rPr>
                <w:rFonts w:ascii="Times New Roman" w:hAnsi="Times New Roman"/>
              </w:rPr>
              <w:t>заклади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методичних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розробках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збірках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 на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носіях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збагачення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вікових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категорій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E80271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568B7B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D5C7B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FFA30F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C365E2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CC7153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C860C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DA3911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02F9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822CAC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CAED6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02FE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2EF61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85AE8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7848E1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34AD7A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940D5D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58C30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61E1D51E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9A40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5731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ACF0BA" w14:textId="0C6FE14B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загальноміських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 </w:t>
            </w:r>
            <w:proofErr w:type="spellStart"/>
            <w:r w:rsidRPr="00EE2E3F">
              <w:rPr>
                <w:rFonts w:ascii="Times New Roman" w:hAnsi="Times New Roman"/>
              </w:rPr>
              <w:t>літературних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зустрічей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конференцій</w:t>
            </w:r>
            <w:proofErr w:type="spellEnd"/>
            <w:r w:rsidRPr="00EE2E3F">
              <w:rPr>
                <w:rFonts w:ascii="Times New Roman" w:hAnsi="Times New Roman"/>
              </w:rPr>
              <w:t>,</w:t>
            </w:r>
          </w:p>
          <w:p w14:paraId="179BF26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місцевих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F23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5DE9F83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E36AF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C10B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669840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C15F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E412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AB792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540F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05979D6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9C3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BC9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635B7" w14:textId="3B1F1303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фестивалі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конкурси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A75D6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54B84E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21D6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DCED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3957F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45B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C48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35FD1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C461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0CB8E815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A3B0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7638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42F86D" w14:textId="6F2D807D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участі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викладачів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зустрічах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концертах, фестивалях, конкурсах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148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086A38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D1E4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F83B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D2C583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24A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33E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F361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6ADD4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384A4C5E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AC32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AFBB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6EC0D" w14:textId="0A0C116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5)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які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зробили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вагомий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внесок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культурний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примножують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сприяють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підвищенню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Привітання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нагоди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народжень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ювілейних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свят.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9A896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3C956C9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2A2B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D9D8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B58FD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B024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93A00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E3F5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8206C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42D28B42" w14:textId="77777777" w:rsidTr="00CB20FF">
        <w:trPr>
          <w:trHeight w:val="3696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6090B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C526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134EA1" w14:textId="7347505B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6)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Pr="00EE2E3F">
              <w:rPr>
                <w:rFonts w:ascii="Times New Roman" w:hAnsi="Times New Roman"/>
              </w:rPr>
              <w:t>пленеру</w:t>
            </w:r>
            <w:proofErr w:type="spellEnd"/>
            <w:r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весна»;</w:t>
            </w:r>
          </w:p>
          <w:p w14:paraId="3BBC5C5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42E639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2AEB134" w14:textId="02C90F54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976478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весна»</w:t>
            </w:r>
          </w:p>
          <w:p w14:paraId="42D0F79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 7 000,00 грн. на кожного)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5B69A8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952AB2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37D7C1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00D842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19375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1C1F8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EF366B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5AB9A2C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EA5EE5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B4DE0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BB6F11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44BAF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36970C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BD59A0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2C8308A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9EF25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912D6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2A87C81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36142E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F428F7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7872D4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17E12DE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4AB9F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208EB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770EF8F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72CF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39C1AF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6C4120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AF3B61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29E32C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4A0ED7A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67325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A700D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7BE3E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69A1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77264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8A94A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6175BE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D2013C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A30CC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42E590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1B46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66C3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27664F4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AFB36F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278B77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C221A6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35ADB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F9607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A91EB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180C659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EA134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96DE7B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85F841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35C398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418E17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198D724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2652F6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ED7A18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15CE3E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3A0EF2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003DF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A5B30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10FE6A07" w14:textId="77777777" w:rsidTr="00CB20FF">
        <w:trPr>
          <w:trHeight w:val="1317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529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96902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265D86" w14:textId="2432D5B1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976478"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="00976478"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Етюди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осені</w:t>
            </w:r>
            <w:proofErr w:type="spellEnd"/>
            <w:r w:rsidR="00976478" w:rsidRPr="00EE2E3F">
              <w:rPr>
                <w:rFonts w:ascii="Times New Roman" w:hAnsi="Times New Roman"/>
              </w:rPr>
              <w:t>»</w:t>
            </w:r>
          </w:p>
          <w:p w14:paraId="45DEC0A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D91EB37" w14:textId="3194178D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976478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живописного </w:t>
            </w:r>
            <w:proofErr w:type="spellStart"/>
            <w:r w:rsidR="00976478" w:rsidRPr="00EE2E3F">
              <w:rPr>
                <w:rFonts w:ascii="Times New Roman" w:hAnsi="Times New Roman"/>
              </w:rPr>
              <w:t>пленеру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«</w:t>
            </w:r>
            <w:proofErr w:type="spellStart"/>
            <w:r w:rsidR="00976478" w:rsidRPr="00EE2E3F">
              <w:rPr>
                <w:rFonts w:ascii="Times New Roman" w:hAnsi="Times New Roman"/>
              </w:rPr>
              <w:t>Етюди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осені</w:t>
            </w:r>
            <w:proofErr w:type="spellEnd"/>
            <w:r w:rsidR="00976478" w:rsidRPr="00EE2E3F">
              <w:rPr>
                <w:rFonts w:ascii="Times New Roman" w:hAnsi="Times New Roman"/>
              </w:rPr>
              <w:t>»</w:t>
            </w:r>
          </w:p>
          <w:p w14:paraId="31F94BF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</w:t>
            </w:r>
          </w:p>
          <w:p w14:paraId="43E3F1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10 000,00 грн. на кожного)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C548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D7369B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4CFAE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E76EA8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3111A5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22D0DE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57BC9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8F52C3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0AD610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670A58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7A8B37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9E2366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64DE8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5ECDDC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B05F34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4E5334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90F0B9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13BAEF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9B3114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AB378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647CF2D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87D8EB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3D9673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65A57B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2E2F48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7CC713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91FC9A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3387325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A3931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200,00</w:t>
            </w:r>
          </w:p>
          <w:p w14:paraId="724FB95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787325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8A278A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BFAE10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296AA6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913C60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6A0AC2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F8EA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5457484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337C886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B89FBF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0793E1B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F46D8A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BF39C0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7BB6567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1D2018D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551C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70A18A88" w14:textId="77777777" w:rsidTr="00CB20FF"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64D6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477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стипендіями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преміями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5F32F" w14:textId="6D467158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стипендії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2E3F">
              <w:rPr>
                <w:rFonts w:ascii="Times New Roman" w:hAnsi="Times New Roman"/>
              </w:rPr>
              <w:t>вихованцям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високі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здобутки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досягнення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навчанні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призові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місця</w:t>
            </w:r>
            <w:proofErr w:type="spellEnd"/>
            <w:r w:rsidRPr="00EE2E3F">
              <w:rPr>
                <w:rFonts w:ascii="Times New Roman" w:hAnsi="Times New Roman"/>
              </w:rPr>
              <w:t xml:space="preserve"> в </w:t>
            </w:r>
            <w:r w:rsidRPr="00EE2E3F">
              <w:rPr>
                <w:rFonts w:ascii="Times New Roman" w:hAnsi="Times New Roman"/>
              </w:rPr>
              <w:lastRenderedPageBreak/>
              <w:t>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олімпіадах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усіх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F0C8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46D017DE" w14:textId="7431F5D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0796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AEA23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491CF2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3F2D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7F16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03F6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0B5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талановитих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обдарованих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63D80AB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Заохочення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результативної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професійного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педагогічної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220D53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інтелектуальних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членів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найдостойніших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</w:tr>
      <w:tr w:rsidR="00976478" w:rsidRPr="00EE2E3F" w14:paraId="385FCFB7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C698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79766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0FC47" w14:textId="70DD707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премії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за </w:t>
            </w:r>
            <w:proofErr w:type="spellStart"/>
            <w:r w:rsidRPr="00EE2E3F">
              <w:rPr>
                <w:rFonts w:ascii="Times New Roman" w:hAnsi="Times New Roman"/>
              </w:rPr>
              <w:t>ініціативу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педагогічний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пошук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викладачам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 та</w:t>
            </w:r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B1F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0C0E4013" w14:textId="7C48859A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CC8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25CF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066312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9481D" w14:textId="3B89FEA9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0664A" w14:textId="4497956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,</w:t>
            </w:r>
            <w:r w:rsidRPr="00EE2E3F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0F1FB" w14:textId="44F3DD65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C0FE3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8026D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27021671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B07AD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648D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A39E12" w14:textId="3D4628B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літературна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 xml:space="preserve">. Ю. </w:t>
            </w:r>
            <w:proofErr w:type="spellStart"/>
            <w:r w:rsidRPr="00EE2E3F">
              <w:rPr>
                <w:rFonts w:ascii="Times New Roman" w:hAnsi="Times New Roman"/>
              </w:rPr>
              <w:t>Мейгеша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3EE4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Травень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082C0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DB80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ADA845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3F1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834F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43B4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3B77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2494696D" w14:textId="77777777" w:rsidTr="00CB20FF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23A81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F47FA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D208D3" w14:textId="3157818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>. О. Духновича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A97AD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Квітень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DB660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4CF3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5ED3F5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A339A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7A81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240,0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84D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3E7ED5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6E6CEE5B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D4F5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9A72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бібліотек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</w:p>
          <w:p w14:paraId="298E686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7D3BD" w14:textId="5C386710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комплектування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періодичними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виданнями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придбання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книг.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передплати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періодичних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видань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2ECD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4943B76" w14:textId="0C5FB3DA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9EB6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8941A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4A7D4E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018E2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763F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256E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2F96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Покращення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якісного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складу </w:t>
            </w:r>
            <w:proofErr w:type="spellStart"/>
            <w:r w:rsidRPr="00EE2E3F">
              <w:rPr>
                <w:rFonts w:ascii="Times New Roman" w:hAnsi="Times New Roman"/>
              </w:rPr>
              <w:t>бібліотечного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фонду,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доступі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інформаційних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джерел</w:t>
            </w:r>
            <w:proofErr w:type="spellEnd"/>
          </w:p>
          <w:p w14:paraId="471792F0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76478" w:rsidRPr="00EE2E3F" w14:paraId="5D54D9A0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10BD9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4.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0682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Створення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міжгалузевої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системи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підготовки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кадрів</w:t>
            </w:r>
            <w:proofErr w:type="spellEnd"/>
            <w:proofErr w:type="gram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18CF0D" w14:textId="7C0494F3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участі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керівників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міської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громади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976478" w:rsidRPr="00EE2E3F">
              <w:rPr>
                <w:rFonts w:ascii="Times New Roman" w:hAnsi="Times New Roman"/>
              </w:rPr>
              <w:t>нарадах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lastRenderedPageBreak/>
              <w:t>семінарах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конференціях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зустрічах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курсах  </w:t>
            </w:r>
            <w:proofErr w:type="spellStart"/>
            <w:r w:rsidR="00976478"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кваліфікації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BFD9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5CD4C59" w14:textId="412A055C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F6C3C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1942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55D03A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6281C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8794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F204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98A73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кваліфікації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вивчення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впровадження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передового </w:t>
            </w:r>
            <w:proofErr w:type="spellStart"/>
            <w:r w:rsidRPr="00EE2E3F">
              <w:rPr>
                <w:rFonts w:ascii="Times New Roman" w:hAnsi="Times New Roman"/>
              </w:rPr>
              <w:t>досвіду</w:t>
            </w:r>
            <w:proofErr w:type="spellEnd"/>
          </w:p>
        </w:tc>
      </w:tr>
      <w:tr w:rsidR="00976478" w:rsidRPr="00EE2E3F" w14:paraId="736EB30F" w14:textId="77777777" w:rsidTr="00CB20FF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2DC2B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4B0EA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Міжнародне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співробітництво</w:t>
            </w:r>
            <w:proofErr w:type="spellEnd"/>
          </w:p>
          <w:p w14:paraId="7453DC31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5033462D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80849" w14:textId="56114CB5" w:rsidR="00976478" w:rsidRPr="00EE2E3F" w:rsidRDefault="006821A9" w:rsidP="00CB20F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976478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участі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учнів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шкіл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976478" w:rsidRPr="00EE2E3F">
              <w:rPr>
                <w:rFonts w:ascii="Times New Roman" w:hAnsi="Times New Roman"/>
              </w:rPr>
              <w:t>індивідуальних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976478" w:rsidRPr="00EE2E3F">
              <w:rPr>
                <w:rFonts w:ascii="Times New Roman" w:hAnsi="Times New Roman"/>
              </w:rPr>
              <w:t>міжнародних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="00976478" w:rsidRPr="00EE2E3F">
              <w:rPr>
                <w:rFonts w:ascii="Times New Roman" w:hAnsi="Times New Roman"/>
              </w:rPr>
              <w:t>виставках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976478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976478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976478" w:rsidRPr="00EE2E3F">
              <w:rPr>
                <w:rFonts w:ascii="Times New Roman" w:hAnsi="Times New Roman"/>
              </w:rPr>
              <w:t>акціях</w:t>
            </w:r>
            <w:proofErr w:type="spellEnd"/>
            <w:r w:rsidR="00976478" w:rsidRPr="00EE2E3F">
              <w:rPr>
                <w:rFonts w:ascii="Times New Roman" w:hAnsi="Times New Roman"/>
              </w:rPr>
              <w:t>.</w:t>
            </w:r>
          </w:p>
          <w:p w14:paraId="6702AD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Прийом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іноземних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тощо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gramStart"/>
            <w:r w:rsidRPr="00EE2E3F">
              <w:rPr>
                <w:rFonts w:ascii="Times New Roman" w:hAnsi="Times New Roman"/>
              </w:rPr>
              <w:t>у фестивалях</w:t>
            </w:r>
            <w:proofErr w:type="gram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інших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заходах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66D7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363A038" w14:textId="3CF88A5E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B12468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B12468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63A3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440D3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A67A76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E28EF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51EBB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8D7D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Pr="00EE2E3F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CCF6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Налагодження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міжнародними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установами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закладами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обміну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досвідом</w:t>
            </w:r>
            <w:proofErr w:type="spellEnd"/>
          </w:p>
        </w:tc>
      </w:tr>
      <w:tr w:rsidR="00976478" w:rsidRPr="00EE2E3F" w14:paraId="2DBE89F6" w14:textId="77777777" w:rsidTr="00CB20FF">
        <w:tc>
          <w:tcPr>
            <w:tcW w:w="86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82947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4791D" w14:textId="2BC39CC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1970BCE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C8F24" w14:textId="42B87F70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3 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68FC1F7C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0C15C" w14:textId="39AFCD8F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C0FE3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416B864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C998" w14:textId="77777777" w:rsidR="00976478" w:rsidRPr="00EE2E3F" w:rsidRDefault="00976478" w:rsidP="00CB20F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BF6F9F" w14:textId="77777777" w:rsidR="00976478" w:rsidRPr="00EE2E3F" w:rsidRDefault="00976478" w:rsidP="00976478">
      <w:pPr>
        <w:spacing w:line="100" w:lineRule="atLeast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p w14:paraId="2829E4A7" w14:textId="1081DC87" w:rsidR="00976478" w:rsidRPr="00EE2E3F" w:rsidRDefault="00976478" w:rsidP="00976478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E2E3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E2E3F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Всього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: 10 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7</w:t>
      </w:r>
      <w:r w:rsidR="00FC0FE3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51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,</w:t>
      </w:r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 xml:space="preserve">5 </w:t>
      </w:r>
      <w:proofErr w:type="spellStart"/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>тис.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грн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.</w:t>
      </w:r>
    </w:p>
    <w:bookmarkEnd w:id="0"/>
    <w:p w14:paraId="2C753FCA" w14:textId="7244E3F9" w:rsidR="00CA4692" w:rsidRDefault="00CA4692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</w:p>
    <w:p w14:paraId="57EABD0E" w14:textId="77777777" w:rsidR="00BE7B30" w:rsidRPr="00CD2EB9" w:rsidRDefault="00BE7B30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eastAsia="zh-CN"/>
        </w:rPr>
      </w:pPr>
    </w:p>
    <w:p w14:paraId="7B75AE40" w14:textId="2451D429" w:rsidR="00BE7B30" w:rsidRPr="00EE2E3F" w:rsidRDefault="00CA4692" w:rsidP="00BE7B30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BE7B30"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="00BE7B30" w:rsidRPr="00EE2E3F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="00BE7B30" w:rsidRPr="00EE2E3F">
        <w:rPr>
          <w:rFonts w:ascii="Times New Roman" w:eastAsia="Liberation Serif" w:hAnsi="Times New Roman"/>
          <w:sz w:val="28"/>
          <w:szCs w:val="28"/>
        </w:rPr>
        <w:t>міської</w:t>
      </w:r>
      <w:proofErr w:type="spellEnd"/>
      <w:r w:rsidR="00BE7B30" w:rsidRPr="00EE2E3F">
        <w:rPr>
          <w:rFonts w:ascii="Times New Roman" w:eastAsia="Liberation Serif" w:hAnsi="Times New Roman"/>
          <w:sz w:val="28"/>
          <w:szCs w:val="28"/>
        </w:rPr>
        <w:t xml:space="preserve"> ради                             </w:t>
      </w:r>
      <w:r w:rsidR="00BE7B30">
        <w:rPr>
          <w:rFonts w:ascii="Times New Roman" w:eastAsia="Liberation Serif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BE7B30" w:rsidRPr="00EE2E3F">
        <w:rPr>
          <w:rFonts w:ascii="Times New Roman" w:eastAsia="Liberation Serif" w:hAnsi="Times New Roman"/>
          <w:sz w:val="28"/>
          <w:szCs w:val="28"/>
        </w:rPr>
        <w:t xml:space="preserve">                                             Яна ЧУБИРКО</w:t>
      </w:r>
    </w:p>
    <w:p w14:paraId="09A6DA06" w14:textId="6CAAB4A6" w:rsidR="00CA4692" w:rsidRPr="00CD2EB9" w:rsidRDefault="00CA4692" w:rsidP="00BE7B30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val="uk-UA" w:eastAsia="zh-CN"/>
        </w:rPr>
      </w:pPr>
    </w:p>
    <w:p w14:paraId="6106D76B" w14:textId="77777777" w:rsidR="00CA4692" w:rsidRPr="00CD2EB9" w:rsidRDefault="00CA4692" w:rsidP="00CA4692">
      <w:pPr>
        <w:tabs>
          <w:tab w:val="left" w:pos="-1800"/>
        </w:tabs>
        <w:suppressAutoHyphens/>
        <w:spacing w:after="0" w:line="240" w:lineRule="auto"/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eastAsia="Liberation Serif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28C8962B" w14:textId="291CE7D9" w:rsid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54F743E7" w14:textId="77777777" w:rsidR="00CA4692" w:rsidRPr="00CD2EB9" w:rsidRDefault="00CA4692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3235BEBF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52E37808" w14:textId="77777777" w:rsidR="00CD2EB9" w:rsidRPr="00CD2EB9" w:rsidRDefault="00CD2EB9" w:rsidP="00CD2EB9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p w14:paraId="133F8DEA" w14:textId="77777777" w:rsidR="00CD2EB9" w:rsidRPr="00CD2EB9" w:rsidRDefault="00CD2EB9" w:rsidP="00B12468">
      <w:pPr>
        <w:suppressAutoHyphens/>
        <w:autoSpaceDE w:val="0"/>
        <w:spacing w:after="0" w:line="240" w:lineRule="auto"/>
        <w:textAlignment w:val="baseline"/>
        <w:rPr>
          <w:rFonts w:ascii="Times New Roman" w:eastAsia="Liberation Serif" w:hAnsi="Times New Roman"/>
          <w:b/>
          <w:bCs/>
          <w:sz w:val="28"/>
          <w:szCs w:val="28"/>
          <w:lang w:eastAsia="zh-CN"/>
        </w:rPr>
      </w:pPr>
    </w:p>
    <w:sectPr w:rsidR="00CD2EB9" w:rsidRPr="00CD2EB9" w:rsidSect="00175D6B">
      <w:headerReference w:type="default" r:id="rId7"/>
      <w:pgSz w:w="16838" w:h="11906" w:orient="landscape"/>
      <w:pgMar w:top="1701" w:right="23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C4F6" w14:textId="77777777" w:rsidR="00582968" w:rsidRDefault="00582968" w:rsidP="00175D6B">
      <w:pPr>
        <w:spacing w:after="0" w:line="240" w:lineRule="auto"/>
      </w:pPr>
      <w:r>
        <w:separator/>
      </w:r>
    </w:p>
  </w:endnote>
  <w:endnote w:type="continuationSeparator" w:id="0">
    <w:p w14:paraId="04B392FC" w14:textId="77777777" w:rsidR="00582968" w:rsidRDefault="00582968" w:rsidP="001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41D7" w14:textId="77777777" w:rsidR="00582968" w:rsidRDefault="00582968" w:rsidP="00175D6B">
      <w:pPr>
        <w:spacing w:after="0" w:line="240" w:lineRule="auto"/>
      </w:pPr>
      <w:r>
        <w:separator/>
      </w:r>
    </w:p>
  </w:footnote>
  <w:footnote w:type="continuationSeparator" w:id="0">
    <w:p w14:paraId="6FE116B5" w14:textId="77777777" w:rsidR="00582968" w:rsidRDefault="00582968" w:rsidP="001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45171"/>
      <w:docPartObj>
        <w:docPartGallery w:val="Page Numbers (Top of Page)"/>
        <w:docPartUnique/>
      </w:docPartObj>
    </w:sdtPr>
    <w:sdtEndPr/>
    <w:sdtContent>
      <w:p w14:paraId="54573D5F" w14:textId="1FAE4F7C" w:rsidR="00175D6B" w:rsidRDefault="0017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CCDC4BE" w14:textId="77777777" w:rsidR="00175D6B" w:rsidRDefault="00175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14247"/>
    <w:rsid w:val="000213B9"/>
    <w:rsid w:val="00175D6B"/>
    <w:rsid w:val="001D7516"/>
    <w:rsid w:val="002B0A49"/>
    <w:rsid w:val="002E674D"/>
    <w:rsid w:val="00334DD6"/>
    <w:rsid w:val="0046643C"/>
    <w:rsid w:val="004B230C"/>
    <w:rsid w:val="005440F8"/>
    <w:rsid w:val="00582968"/>
    <w:rsid w:val="005F1E26"/>
    <w:rsid w:val="0060792A"/>
    <w:rsid w:val="00640AD8"/>
    <w:rsid w:val="006821A9"/>
    <w:rsid w:val="006C247E"/>
    <w:rsid w:val="00976478"/>
    <w:rsid w:val="009A753C"/>
    <w:rsid w:val="00B12468"/>
    <w:rsid w:val="00BB226A"/>
    <w:rsid w:val="00BE7B30"/>
    <w:rsid w:val="00C5211F"/>
    <w:rsid w:val="00CA4692"/>
    <w:rsid w:val="00CD2EB9"/>
    <w:rsid w:val="00F2771C"/>
    <w:rsid w:val="00F61578"/>
    <w:rsid w:val="00FC0FE3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0C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Standard">
    <w:name w:val="Standard"/>
    <w:rsid w:val="009764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3">
    <w:name w:val="Emphasis"/>
    <w:qFormat/>
    <w:rsid w:val="00976478"/>
    <w:rPr>
      <w:i/>
      <w:iCs/>
    </w:rPr>
  </w:style>
  <w:style w:type="paragraph" w:customStyle="1" w:styleId="FR1">
    <w:name w:val="FR1"/>
    <w:rsid w:val="00976478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976478"/>
    <w:pPr>
      <w:jc w:val="both"/>
    </w:pPr>
    <w:rPr>
      <w:sz w:val="26"/>
      <w:szCs w:val="20"/>
    </w:rPr>
  </w:style>
  <w:style w:type="paragraph" w:customStyle="1" w:styleId="TableContents">
    <w:name w:val="Table Contents"/>
    <w:basedOn w:val="Standard"/>
    <w:rsid w:val="00976478"/>
    <w:pPr>
      <w:suppressLineNumbers/>
    </w:pPr>
  </w:style>
  <w:style w:type="paragraph" w:styleId="a4">
    <w:name w:val="No Spacing"/>
    <w:uiPriority w:val="1"/>
    <w:qFormat/>
    <w:rsid w:val="00976478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75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75D6B"/>
    <w:rPr>
      <w:rFonts w:ascii="Calibri" w:eastAsia="Calibri" w:hAnsi="Calibri" w:cs="Times New Roman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175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75D6B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4678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2021-11-19T12:05:00Z</dcterms:created>
  <dcterms:modified xsi:type="dcterms:W3CDTF">2021-11-19T12:05:00Z</dcterms:modified>
</cp:coreProperties>
</file>