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</w:t>
      </w:r>
      <w:r w:rsidRPr="00894F9F">
        <w:rPr>
          <w:rFonts w:ascii="Times New Roman" w:hAnsi="Times New Roman" w:cs="Times New Roman"/>
          <w:kern w:val="2"/>
          <w:lang w:val="uk-UA" w:eastAsia="zh-CN"/>
        </w:rPr>
        <w:t xml:space="preserve">                 Додаток №3</w:t>
      </w: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kern w:val="2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788"/>
        <w:jc w:val="right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before="240"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 xml:space="preserve">                                                                                                  Інформація про виконання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before="240" w:after="120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894F9F">
        <w:rPr>
          <w:rFonts w:ascii="Times New Roman" w:hAnsi="Times New Roman" w:cs="Times New Roman"/>
          <w:bCs/>
          <w:color w:val="000000"/>
          <w:kern w:val="2"/>
          <w:lang w:val="uk-UA" w:eastAsia="zh-CN"/>
        </w:rPr>
        <w:t>Програми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</w:t>
      </w:r>
      <w:r>
        <w:rPr>
          <w:rFonts w:ascii="Times New Roman" w:hAnsi="Times New Roman" w:cs="Times New Roman"/>
          <w:b/>
          <w:bCs/>
          <w:color w:val="000000"/>
          <w:kern w:val="2"/>
          <w:lang w:val="uk-UA" w:eastAsia="zh-CN"/>
        </w:rPr>
        <w:t>.</w:t>
      </w:r>
    </w:p>
    <w:p w:rsidR="006E6353" w:rsidRDefault="006E6353" w:rsidP="004000CB">
      <w:pPr>
        <w:shd w:val="clear" w:color="auto" w:fill="FFFFFF"/>
        <w:tabs>
          <w:tab w:val="left" w:pos="14459"/>
        </w:tabs>
        <w:spacing w:before="240"/>
        <w:rPr>
          <w:color w:val="000000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9731"/>
      </w:tblGrid>
      <w:tr w:rsidR="006E6353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</w:t>
            </w:r>
            <w:proofErr w:type="spellEnd"/>
            <w:proofErr w:type="gramEnd"/>
          </w:p>
        </w:tc>
      </w:tr>
      <w:tr w:rsidR="006E6353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6E6353" w:rsidRPr="00523D21" w:rsidTr="006E6353">
        <w:tc>
          <w:tcPr>
            <w:tcW w:w="692" w:type="dxa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before="240"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Програма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      </w:r>
          </w:p>
        </w:tc>
      </w:tr>
      <w:tr w:rsidR="006E6353" w:rsidTr="006E6353">
        <w:tc>
          <w:tcPr>
            <w:tcW w:w="692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 xml:space="preserve"> міської 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ради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</w:t>
      </w:r>
      <w:r>
        <w:rPr>
          <w:rFonts w:ascii="Times New Roman" w:hAnsi="Times New Roman" w:cs="Times New Roman"/>
          <w:color w:val="000000"/>
          <w:lang w:val="uk-UA" w:eastAsia="uk-UA"/>
        </w:rPr>
        <w:t>4. Напрями діяльності та заходи програми: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ind w:firstLine="708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6E6353" w:rsidRDefault="006E6353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5FF4" w:rsidRPr="00515FF4" w:rsidRDefault="00515FF4" w:rsidP="004000CB">
      <w:pPr>
        <w:shd w:val="clear" w:color="auto" w:fill="FFFFFF"/>
        <w:tabs>
          <w:tab w:val="left" w:pos="14459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E6353" w:rsidRPr="004000CB" w:rsidRDefault="006E6353" w:rsidP="004000CB">
      <w:pPr>
        <w:shd w:val="clear" w:color="auto" w:fill="FFFFFF"/>
        <w:tabs>
          <w:tab w:val="left" w:pos="14459"/>
        </w:tabs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884"/>
      </w:tblGrid>
      <w:tr w:rsidR="006E6353" w:rsidTr="004000C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Головний</w:t>
            </w:r>
            <w:proofErr w:type="spellEnd"/>
          </w:p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виконавець</w:t>
            </w:r>
            <w:proofErr w:type="spellEnd"/>
          </w:p>
          <w:p w:rsidR="006E6353" w:rsidRDefault="006E6353" w:rsidP="004000CB">
            <w:pPr>
              <w:tabs>
                <w:tab w:val="left" w:pos="144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 строк</w:t>
            </w:r>
          </w:p>
          <w:p w:rsidR="006E6353" w:rsidRDefault="006E6353" w:rsidP="004000CB">
            <w:pPr>
              <w:tabs>
                <w:tab w:val="left" w:pos="14459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Стан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виконан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ня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заходів (результативні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показни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ки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викона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ння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програ</w:t>
            </w:r>
            <w:r w:rsidR="004000CB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-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ми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6E6353" w:rsidTr="004000C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:rsidTr="004000C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6E6353" w:rsidRDefault="006E6353" w:rsidP="004000CB">
            <w:pPr>
              <w:pStyle w:val="2"/>
              <w:tabs>
                <w:tab w:val="left" w:pos="14459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353" w:rsidRDefault="006E6353" w:rsidP="004000CB">
            <w:pPr>
              <w:widowControl/>
              <w:tabs>
                <w:tab w:val="left" w:pos="14459"/>
              </w:tabs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6E6353" w:rsidTr="004000C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353" w:rsidRDefault="006E6353" w:rsidP="004000CB">
            <w:pPr>
              <w:shd w:val="clear" w:color="auto" w:fill="FFFFFF"/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ind w:left="720"/>
        <w:jc w:val="both"/>
        <w:rPr>
          <w:rFonts w:ascii="Calibri" w:eastAsia="Calibri" w:hAnsi="Calibri" w:cs="Calibri"/>
          <w:kern w:val="2"/>
          <w:sz w:val="22"/>
          <w:szCs w:val="2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jc w:val="left"/>
        <w:rPr>
          <w:rFonts w:ascii="Calibri" w:eastAsia="Calibri" w:hAnsi="Calibri" w:cs="Times New Roman"/>
          <w:kern w:val="2"/>
          <w:sz w:val="22"/>
          <w:szCs w:val="2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5. Аналіз виконання за видатками в цілому за програмою:     </w:t>
      </w:r>
    </w:p>
    <w:p w:rsidR="006E6353" w:rsidRDefault="006E6353" w:rsidP="004000CB">
      <w:pPr>
        <w:widowControl/>
        <w:shd w:val="clear" w:color="auto" w:fill="FFFFFF"/>
        <w:tabs>
          <w:tab w:val="left" w:pos="14459"/>
        </w:tabs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                                                                    </w:t>
      </w:r>
    </w:p>
    <w:p w:rsidR="006E6353" w:rsidRDefault="006E6353" w:rsidP="004000CB">
      <w:pPr>
        <w:pStyle w:val="21"/>
        <w:shd w:val="clear" w:color="auto" w:fill="FFFFFF"/>
        <w:tabs>
          <w:tab w:val="left" w:pos="14459"/>
        </w:tabs>
        <w:spacing w:after="0"/>
        <w:jc w:val="right"/>
      </w:pPr>
      <w:r>
        <w:rPr>
          <w:color w:val="000000"/>
          <w:sz w:val="20"/>
          <w:szCs w:val="20"/>
        </w:rPr>
        <w:t>тис. грн.</w:t>
      </w:r>
    </w:p>
    <w:tbl>
      <w:tblPr>
        <w:tblW w:w="14433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770"/>
      </w:tblGrid>
      <w:tr w:rsidR="006E6353" w:rsidTr="004000C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Проведені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</w:p>
        </w:tc>
        <w:tc>
          <w:tcPr>
            <w:tcW w:w="5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Відхилення</w:t>
            </w:r>
            <w:proofErr w:type="spellEnd"/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AA0E87">
              <w:rPr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proofErr w:type="gram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proofErr w:type="gram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AA0E87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Спец</w:t>
            </w:r>
            <w:proofErr w:type="gram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іальний</w:t>
            </w:r>
            <w:proofErr w:type="spellEnd"/>
            <w:r w:rsidRPr="00AA0E87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A0E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фонд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AA0E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6E6353" w:rsidTr="004000C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pStyle w:val="2"/>
              <w:tabs>
                <w:tab w:val="left" w:pos="14459"/>
              </w:tabs>
              <w:snapToGrid w:val="0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353" w:rsidRPr="00AA0E87" w:rsidRDefault="006E6353" w:rsidP="004000CB">
            <w:pPr>
              <w:tabs>
                <w:tab w:val="left" w:pos="14459"/>
              </w:tabs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E6353" w:rsidRDefault="006E6353" w:rsidP="006E6353">
      <w:pPr>
        <w:widowControl/>
        <w:shd w:val="clear" w:color="auto" w:fill="FFFFFF"/>
        <w:suppressAutoHyphens/>
        <w:autoSpaceDE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6E6353" w:rsidRDefault="006E6353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4000CB" w:rsidRPr="00894F9F" w:rsidRDefault="004000CB" w:rsidP="004000CB">
      <w:pPr>
        <w:widowControl/>
        <w:shd w:val="clear" w:color="auto" w:fill="FFFFFF"/>
        <w:suppressAutoHyphens/>
        <w:autoSpaceDE/>
        <w:adjustRightInd/>
        <w:spacing w:line="100" w:lineRule="atLeast"/>
        <w:jc w:val="both"/>
        <w:rPr>
          <w:rFonts w:ascii="Times New Roman" w:hAnsi="Times New Roman" w:cs="Times New Roman"/>
          <w:kern w:val="2"/>
          <w:lang w:val="uk-UA" w:eastAsia="zh-CN"/>
        </w:rPr>
      </w:pPr>
    </w:p>
    <w:p w:rsidR="006E6353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Секретар міської ради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  <w:t xml:space="preserve">        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ab/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000CB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Я</w:t>
      </w:r>
      <w:r w:rsidR="00894F9F"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>на</w:t>
      </w:r>
      <w:r w:rsidRPr="00894F9F"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  <w:t xml:space="preserve"> ЧУБИРКО</w:t>
      </w:r>
    </w:p>
    <w:p w:rsidR="00523D21" w:rsidRDefault="00523D21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:rsidR="00523D21" w:rsidRPr="00523D21" w:rsidRDefault="00523D21" w:rsidP="00523D21">
      <w:pPr>
        <w:widowControl/>
        <w:suppressAutoHyphens/>
        <w:autoSpaceDE/>
        <w:autoSpaceDN/>
        <w:adjustRightInd/>
        <w:spacing w:line="100" w:lineRule="atLeast"/>
        <w:jc w:val="left"/>
        <w:textAlignment w:val="baseline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  <w:bookmarkStart w:id="0" w:name="_GoBack"/>
      <w:bookmarkEnd w:id="0"/>
    </w:p>
    <w:p w:rsidR="00523D21" w:rsidRPr="00894F9F" w:rsidRDefault="00523D21" w:rsidP="006E6353">
      <w:pPr>
        <w:widowControl/>
        <w:suppressAutoHyphens/>
        <w:autoSpaceDE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sz w:val="28"/>
          <w:szCs w:val="28"/>
          <w:lang w:val="uk-UA" w:eastAsia="zh-CN"/>
        </w:rPr>
      </w:pPr>
    </w:p>
    <w:p w:rsidR="006E6353" w:rsidRPr="00894F9F" w:rsidRDefault="006E6353" w:rsidP="006E6353">
      <w:pPr>
        <w:widowControl/>
        <w:suppressAutoHyphens/>
        <w:autoSpaceDE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0B0A96" w:rsidRPr="00894F9F" w:rsidRDefault="000B0A96" w:rsidP="006E6353">
      <w:pPr>
        <w:jc w:val="both"/>
      </w:pPr>
    </w:p>
    <w:sectPr w:rsidR="000B0A96" w:rsidRPr="00894F9F" w:rsidSect="00400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24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6C" w:rsidRDefault="00C64F6C" w:rsidP="003A2A7C">
      <w:r>
        <w:separator/>
      </w:r>
    </w:p>
  </w:endnote>
  <w:endnote w:type="continuationSeparator" w:id="0">
    <w:p w:rsidR="00C64F6C" w:rsidRDefault="00C64F6C" w:rsidP="003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6C" w:rsidRDefault="00C64F6C" w:rsidP="003A2A7C">
      <w:r>
        <w:separator/>
      </w:r>
    </w:p>
  </w:footnote>
  <w:footnote w:type="continuationSeparator" w:id="0">
    <w:p w:rsidR="00C64F6C" w:rsidRDefault="00C64F6C" w:rsidP="003A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2084539"/>
      <w:docPartObj>
        <w:docPartGallery w:val="Page Numbers (Top of Page)"/>
        <w:docPartUnique/>
      </w:docPartObj>
    </w:sdtPr>
    <w:sdtEndPr/>
    <w:sdtContent>
      <w:p w:rsidR="003A2A7C" w:rsidRPr="00F84924" w:rsidRDefault="003A2A7C" w:rsidP="00F84924">
        <w:pPr>
          <w:pStyle w:val="a3"/>
          <w:jc w:val="right"/>
          <w:rPr>
            <w:rFonts w:ascii="Times New Roman" w:hAnsi="Times New Roman" w:cs="Times New Roman"/>
          </w:rPr>
        </w:pPr>
        <w:r w:rsidRPr="00F84924">
          <w:rPr>
            <w:rFonts w:ascii="Times New Roman" w:hAnsi="Times New Roman" w:cs="Times New Roman"/>
          </w:rPr>
          <w:fldChar w:fldCharType="begin"/>
        </w:r>
        <w:r w:rsidRPr="00F84924">
          <w:rPr>
            <w:rFonts w:ascii="Times New Roman" w:hAnsi="Times New Roman" w:cs="Times New Roman"/>
          </w:rPr>
          <w:instrText>PAGE   \* MERGEFORMAT</w:instrText>
        </w:r>
        <w:r w:rsidRPr="00F84924">
          <w:rPr>
            <w:rFonts w:ascii="Times New Roman" w:hAnsi="Times New Roman" w:cs="Times New Roman"/>
          </w:rPr>
          <w:fldChar w:fldCharType="separate"/>
        </w:r>
        <w:r w:rsidR="00945B27">
          <w:rPr>
            <w:rFonts w:ascii="Times New Roman" w:hAnsi="Times New Roman" w:cs="Times New Roman"/>
            <w:noProof/>
          </w:rPr>
          <w:t>2</w:t>
        </w:r>
        <w:r w:rsidRPr="00F84924">
          <w:rPr>
            <w:rFonts w:ascii="Times New Roman" w:hAnsi="Times New Roman" w:cs="Times New Roman"/>
          </w:rPr>
          <w:fldChar w:fldCharType="end"/>
        </w:r>
        <w:r w:rsidR="00F84924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  Продовження додатка 3</w:t>
        </w:r>
      </w:p>
    </w:sdtContent>
  </w:sdt>
  <w:p w:rsidR="003A2A7C" w:rsidRDefault="003A2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24" w:rsidRDefault="00F84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31FEF"/>
    <w:rsid w:val="00382C24"/>
    <w:rsid w:val="003A2A7C"/>
    <w:rsid w:val="004000CB"/>
    <w:rsid w:val="00515FF4"/>
    <w:rsid w:val="00523D21"/>
    <w:rsid w:val="0052673C"/>
    <w:rsid w:val="005A1445"/>
    <w:rsid w:val="006E6353"/>
    <w:rsid w:val="00894F9F"/>
    <w:rsid w:val="00945B27"/>
    <w:rsid w:val="00985851"/>
    <w:rsid w:val="00AA0E87"/>
    <w:rsid w:val="00B33CCC"/>
    <w:rsid w:val="00C46CAF"/>
    <w:rsid w:val="00C64F6C"/>
    <w:rsid w:val="00D667C5"/>
    <w:rsid w:val="00E01DF4"/>
    <w:rsid w:val="00E47B95"/>
    <w:rsid w:val="00E77C46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2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A7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668B-AAA7-4DB7-B4CC-68ADD4A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2021-10-21T09:20:00Z</dcterms:created>
  <dcterms:modified xsi:type="dcterms:W3CDTF">2021-11-10T08:17:00Z</dcterms:modified>
</cp:coreProperties>
</file>