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911" w14:textId="77777777" w:rsidR="00FA335E" w:rsidRPr="00540A01" w:rsidRDefault="00FA335E" w:rsidP="00FA335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1F4DBE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615B968" wp14:editId="0A7686A7">
            <wp:simplePos x="0" y="0"/>
            <wp:positionH relativeFrom="column">
              <wp:posOffset>2853690</wp:posOffset>
            </wp:positionH>
            <wp:positionV relativeFrom="paragraph">
              <wp:posOffset>-4445</wp:posOffset>
            </wp:positionV>
            <wp:extent cx="457200" cy="600075"/>
            <wp:effectExtent l="0" t="0" r="0" b="9525"/>
            <wp:wrapNone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858A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BAADC58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4D3F450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УКАЧІВСЬКА МІСЬКА РАДА</w:t>
      </w:r>
    </w:p>
    <w:p w14:paraId="72505A74" w14:textId="77777777" w:rsidR="00FA335E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FAB1997" w14:textId="77777777" w:rsidR="00FA335E" w:rsidRPr="001A55A6" w:rsidRDefault="00FA335E" w:rsidP="00FA335E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Мукачівської міської ради</w:t>
      </w:r>
    </w:p>
    <w:p w14:paraId="32017CAA" w14:textId="77777777" w:rsidR="00FA335E" w:rsidRPr="00860CA1" w:rsidRDefault="00FA335E" w:rsidP="00FA335E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пл.Духновича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Олександра, 2, м. Мукачево, Закарпатська</w:t>
      </w:r>
      <w:r w:rsidRPr="00860CA1">
        <w:rPr>
          <w:rFonts w:ascii="Times New Roman" w:hAnsi="Times New Roman"/>
          <w:sz w:val="20"/>
          <w:szCs w:val="20"/>
          <w:lang w:val="uk-UA"/>
        </w:rPr>
        <w:t xml:space="preserve"> обл., 8</w:t>
      </w:r>
      <w:r>
        <w:rPr>
          <w:rFonts w:ascii="Times New Roman" w:hAnsi="Times New Roman"/>
          <w:sz w:val="20"/>
          <w:szCs w:val="20"/>
          <w:lang w:val="uk-UA"/>
        </w:rPr>
        <w:t>9600</w:t>
      </w:r>
      <w:r w:rsidRPr="00860CA1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60CA1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860CA1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(03131) 2 10 47</w:t>
      </w:r>
    </w:p>
    <w:p w14:paraId="7E18522E" w14:textId="77777777" w:rsidR="00FA335E" w:rsidRPr="007C5323" w:rsidRDefault="00FA335E" w:rsidP="00FA335E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7C5323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5059A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6" w:history="1"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mvk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@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mukachevo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-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rada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gov</w:t>
        </w:r>
        <w:r w:rsidRPr="0005059A">
          <w:rPr>
            <w:rStyle w:val="a4"/>
            <w:rFonts w:ascii="Times New Roman" w:hAnsi="Times New Roman"/>
            <w:sz w:val="20"/>
            <w:szCs w:val="20"/>
            <w:lang w:val="uk-UA"/>
          </w:rPr>
          <w:t>.</w:t>
        </w:r>
        <w:r w:rsidRPr="0005059A">
          <w:rPr>
            <w:rStyle w:val="a4"/>
            <w:rFonts w:ascii="Times New Roman" w:hAnsi="Times New Roman"/>
            <w:sz w:val="20"/>
            <w:szCs w:val="20"/>
            <w:lang w:val="en-US"/>
          </w:rPr>
          <w:t>ua</w:t>
        </w:r>
      </w:hyperlink>
      <w:r w:rsidRPr="0005059A">
        <w:rPr>
          <w:rFonts w:ascii="Times New Roman" w:hAnsi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1A55A6"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>//</w:t>
      </w:r>
      <w:r w:rsidRPr="001A55A6">
        <w:rPr>
          <w:lang w:val="en-US"/>
        </w:rPr>
        <w:t xml:space="preserve"> </w:t>
      </w:r>
      <w:r w:rsidRPr="001A55A6">
        <w:rPr>
          <w:rFonts w:ascii="Times New Roman" w:hAnsi="Times New Roman"/>
          <w:sz w:val="20"/>
          <w:szCs w:val="20"/>
          <w:lang w:val="uk-UA"/>
        </w:rPr>
        <w:t>mukachevo-rada.gov.ua</w:t>
      </w:r>
      <w:r w:rsidRPr="007C5323">
        <w:rPr>
          <w:rFonts w:ascii="Times New Roman" w:hAnsi="Times New Roman"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код ЄДРПОУ 04053743</w:t>
      </w:r>
    </w:p>
    <w:p w14:paraId="56BFC91D" w14:textId="5F1E8AAE" w:rsidR="00BD6FE9" w:rsidRDefault="00BD6FE9">
      <w:pPr>
        <w:rPr>
          <w:lang w:val="uk-UA"/>
        </w:rPr>
      </w:pPr>
    </w:p>
    <w:p w14:paraId="31BB0C21" w14:textId="6FCD1C70" w:rsidR="00FA335E" w:rsidRDefault="00FA335E">
      <w:pPr>
        <w:rPr>
          <w:lang w:val="uk-UA"/>
        </w:rPr>
      </w:pPr>
    </w:p>
    <w:p w14:paraId="06176A2F" w14:textId="50ECB23E" w:rsidR="00FA335E" w:rsidRPr="00FA335E" w:rsidRDefault="00B74419" w:rsidP="00FA335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</w:t>
      </w:r>
      <w:r w:rsidR="00FA335E" w:rsidRPr="00FA33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ЗВІТ</w:t>
      </w:r>
    </w:p>
    <w:p w14:paraId="4B5143B2" w14:textId="2D8C227E" w:rsidR="00FA335E" w:rsidRPr="00FA335E" w:rsidRDefault="00FA335E" w:rsidP="00B74419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про роботу</w:t>
      </w:r>
      <w:proofErr w:type="gram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бухгалтерського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обліку</w:t>
      </w:r>
      <w:proofErr w:type="spellEnd"/>
      <w:r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</w:t>
      </w:r>
    </w:p>
    <w:p w14:paraId="079EED77" w14:textId="192947AD" w:rsidR="00FA335E" w:rsidRPr="00FA335E" w:rsidRDefault="00B74419" w:rsidP="00FA335E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FA335E"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звітності</w:t>
      </w:r>
      <w:proofErr w:type="spellEnd"/>
      <w:r w:rsidR="00FA335E"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spellStart"/>
      <w:r w:rsidR="00FA335E"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Мукачівської</w:t>
      </w:r>
      <w:proofErr w:type="spellEnd"/>
      <w:r w:rsidR="00FA335E"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A335E"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міської</w:t>
      </w:r>
      <w:proofErr w:type="spellEnd"/>
      <w:r w:rsidR="00FA335E"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ради</w:t>
      </w:r>
    </w:p>
    <w:p w14:paraId="7708B3FC" w14:textId="43FB868C" w:rsidR="00FA335E" w:rsidRPr="00FA335E" w:rsidRDefault="00B74419" w:rsidP="00FA335E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</w:t>
      </w:r>
      <w:proofErr w:type="gramStart"/>
      <w:r w:rsidR="00FA335E"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</w:t>
      </w:r>
      <w:r w:rsidR="00BD68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12</w:t>
      </w:r>
      <w:proofErr w:type="gramEnd"/>
      <w:r w:rsidR="00BD680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місяців </w:t>
      </w:r>
      <w:r w:rsidR="00FA335E" w:rsidRPr="00FA33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2021 року</w:t>
      </w:r>
    </w:p>
    <w:p w14:paraId="23EDCEDF" w14:textId="77777777" w:rsidR="00FA335E" w:rsidRPr="00FA335E" w:rsidRDefault="00FA335E" w:rsidP="00FA335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261275" w14:textId="77777777" w:rsidR="00FA335E" w:rsidRPr="00FA335E" w:rsidRDefault="00FA335E" w:rsidP="00FA33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Відділ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виконує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свої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із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звітність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A335E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FA335E">
        <w:rPr>
          <w:rFonts w:ascii="Times New Roman" w:hAnsi="Times New Roman"/>
          <w:sz w:val="28"/>
          <w:szCs w:val="28"/>
        </w:rPr>
        <w:t>правовими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законодавчими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актами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які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питань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обліковою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політикою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затвердженою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голови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509EFD5A" w14:textId="77777777" w:rsidR="00FA335E" w:rsidRPr="00FA335E" w:rsidRDefault="00FA335E" w:rsidP="00FA33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Головною метою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FA335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достовірної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A335E">
        <w:rPr>
          <w:rFonts w:ascii="Times New Roman" w:hAnsi="Times New Roman"/>
          <w:sz w:val="28"/>
          <w:szCs w:val="28"/>
        </w:rPr>
        <w:t>необхідна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кошторисів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даними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податкова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статистична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7E6A406E" w14:textId="77777777" w:rsidR="00FA335E" w:rsidRPr="00FA335E" w:rsidRDefault="00FA335E" w:rsidP="00FA33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регулює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казначейство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розробляє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FA335E">
        <w:rPr>
          <w:rFonts w:ascii="Times New Roman" w:hAnsi="Times New Roman"/>
          <w:sz w:val="28"/>
          <w:szCs w:val="28"/>
        </w:rPr>
        <w:t>його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D36BAE4" w14:textId="35F360B1" w:rsidR="00FA335E" w:rsidRPr="00FA335E" w:rsidRDefault="00FA335E" w:rsidP="00FA33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Станом на 01 </w:t>
      </w:r>
      <w:r w:rsidR="00BD6807">
        <w:rPr>
          <w:rFonts w:ascii="Times New Roman" w:hAnsi="Times New Roman"/>
          <w:sz w:val="28"/>
          <w:szCs w:val="28"/>
          <w:lang w:val="uk-UA"/>
        </w:rPr>
        <w:t>січ</w:t>
      </w:r>
      <w:proofErr w:type="spellStart"/>
      <w:r w:rsidRPr="00FA335E">
        <w:rPr>
          <w:rFonts w:ascii="Times New Roman" w:hAnsi="Times New Roman"/>
          <w:sz w:val="28"/>
          <w:szCs w:val="28"/>
        </w:rPr>
        <w:t>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202</w:t>
      </w:r>
      <w:r w:rsidR="00BD6807">
        <w:rPr>
          <w:rFonts w:ascii="Times New Roman" w:hAnsi="Times New Roman"/>
          <w:sz w:val="28"/>
          <w:szCs w:val="28"/>
          <w:lang w:val="uk-UA"/>
        </w:rPr>
        <w:t>2</w:t>
      </w:r>
      <w:r w:rsidRPr="00FA335E">
        <w:rPr>
          <w:rFonts w:ascii="Times New Roman" w:hAnsi="Times New Roman"/>
          <w:sz w:val="28"/>
          <w:szCs w:val="28"/>
        </w:rPr>
        <w:t xml:space="preserve"> року в ГУДКСУ в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Закарпатській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обл.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r w:rsidR="00BD6807">
        <w:rPr>
          <w:rFonts w:ascii="Times New Roman" w:hAnsi="Times New Roman"/>
          <w:sz w:val="28"/>
          <w:szCs w:val="28"/>
          <w:lang w:val="uk-UA"/>
        </w:rPr>
        <w:t>40</w:t>
      </w:r>
      <w:r w:rsidRPr="00FA335E">
        <w:rPr>
          <w:rFonts w:ascii="Times New Roman" w:hAnsi="Times New Roman"/>
          <w:sz w:val="28"/>
          <w:szCs w:val="28"/>
        </w:rPr>
        <w:t>(</w:t>
      </w:r>
      <w:proofErr w:type="gramStart"/>
      <w:r w:rsidR="00BD6807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Pr="00FA335E">
        <w:rPr>
          <w:rFonts w:ascii="Times New Roman" w:hAnsi="Times New Roman"/>
          <w:sz w:val="28"/>
          <w:szCs w:val="28"/>
        </w:rPr>
        <w:t>)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поточних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335E">
        <w:rPr>
          <w:rFonts w:ascii="Times New Roman" w:hAnsi="Times New Roman"/>
          <w:sz w:val="28"/>
          <w:szCs w:val="28"/>
        </w:rPr>
        <w:t>також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                ПАТ </w:t>
      </w:r>
      <w:proofErr w:type="spellStart"/>
      <w:r w:rsidRPr="00FA335E">
        <w:rPr>
          <w:rFonts w:ascii="Times New Roman" w:hAnsi="Times New Roman"/>
          <w:sz w:val="28"/>
          <w:szCs w:val="28"/>
        </w:rPr>
        <w:t>Ощадбанк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касових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валютних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відображенням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рахунках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усіх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7AC8B47" w14:textId="77777777" w:rsidR="00FA335E" w:rsidRPr="00FA335E" w:rsidRDefault="00FA335E" w:rsidP="00FA33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Відділ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335E">
        <w:rPr>
          <w:rFonts w:ascii="Times New Roman" w:hAnsi="Times New Roman"/>
          <w:sz w:val="28"/>
          <w:szCs w:val="28"/>
        </w:rPr>
        <w:t>своїй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вказаний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керувався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Законами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рішеннями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сесії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голови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Постановами,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Положеннями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посадовими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інструкціями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1680373" w14:textId="77777777" w:rsidR="00FA335E" w:rsidRPr="00FA335E" w:rsidRDefault="00FA335E" w:rsidP="00FA33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lastRenderedPageBreak/>
        <w:t>Інформуємо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що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даний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>:</w:t>
      </w:r>
    </w:p>
    <w:p w14:paraId="4E5938C1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проводилась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ГУДКСУ </w:t>
      </w:r>
      <w:proofErr w:type="spellStart"/>
      <w:r w:rsidRPr="00FA335E">
        <w:rPr>
          <w:rFonts w:ascii="Times New Roman" w:hAnsi="Times New Roman"/>
          <w:sz w:val="28"/>
          <w:szCs w:val="28"/>
        </w:rPr>
        <w:t>платіжних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доручень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зобов’язань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Дебіторами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Кредиторами;</w:t>
      </w:r>
    </w:p>
    <w:p w14:paraId="4FE3261E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проводився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синтетичний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аналітичний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оброблялись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різним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джерелам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583A3D37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щоквартально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подавали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</w:p>
    <w:p w14:paraId="4D4B4B89" w14:textId="77777777" w:rsidR="00FA335E" w:rsidRP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D9777" w14:textId="77777777" w:rsidR="00FA335E" w:rsidRPr="00FA335E" w:rsidRDefault="00FA335E" w:rsidP="00FA335E">
      <w:pPr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розрахунках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4C8A220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звітувались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інстанції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335E">
        <w:rPr>
          <w:rFonts w:ascii="Times New Roman" w:hAnsi="Times New Roman"/>
          <w:sz w:val="28"/>
          <w:szCs w:val="28"/>
        </w:rPr>
        <w:t>Фінансове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управляння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Статуправління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Пенсійний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фонд, Фонд </w:t>
      </w:r>
      <w:proofErr w:type="spellStart"/>
      <w:r w:rsidRPr="00FA335E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тимчасової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втрати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працездатності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Фонд </w:t>
      </w:r>
      <w:proofErr w:type="spellStart"/>
      <w:r w:rsidRPr="00FA335E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ОДПІ, </w:t>
      </w:r>
      <w:proofErr w:type="spellStart"/>
      <w:r w:rsidRPr="00FA335E">
        <w:rPr>
          <w:rFonts w:ascii="Times New Roman" w:hAnsi="Times New Roman"/>
          <w:sz w:val="28"/>
          <w:szCs w:val="28"/>
        </w:rPr>
        <w:t>Держказначейство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40005CB3" w14:textId="12C0E05E" w:rsidR="00FA335E" w:rsidRPr="00FA335E" w:rsidRDefault="00BD6807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вказаного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періоду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вчасно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відпускних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лікарняних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заробітної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цивільно-правовим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угодам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також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громадським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роботам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договорів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Мукачівським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міськрайонним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="00FA335E" w:rsidRPr="00FA335E">
        <w:rPr>
          <w:rFonts w:ascii="Times New Roman" w:hAnsi="Times New Roman"/>
          <w:sz w:val="28"/>
          <w:szCs w:val="28"/>
        </w:rPr>
        <w:t>зайнятості</w:t>
      </w:r>
      <w:proofErr w:type="spellEnd"/>
      <w:r w:rsidR="00FA335E" w:rsidRPr="00FA335E">
        <w:rPr>
          <w:rFonts w:ascii="Times New Roman" w:hAnsi="Times New Roman"/>
          <w:sz w:val="28"/>
          <w:szCs w:val="28"/>
        </w:rPr>
        <w:t>;</w:t>
      </w:r>
    </w:p>
    <w:p w14:paraId="68F105E8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вчасно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перераховувалась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плата </w:t>
      </w:r>
      <w:proofErr w:type="gramStart"/>
      <w:r w:rsidRPr="00FA335E">
        <w:rPr>
          <w:rFonts w:ascii="Times New Roman" w:hAnsi="Times New Roman"/>
          <w:sz w:val="28"/>
          <w:szCs w:val="28"/>
        </w:rPr>
        <w:t>за першу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та другу половину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місяця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по договорам ЦПХ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карткові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17C8F0B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систематично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різні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довідки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місцю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вимоги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28852D8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велись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підзвітними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особами;</w:t>
      </w:r>
    </w:p>
    <w:p w14:paraId="62DEE4A3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проводилась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видача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прийом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подорожніх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листів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водіям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1BF62117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протязі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водіїв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талонами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паливно-мастильні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4C601F4F" w14:textId="738875FC" w:rsid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проводились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орендарями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552336E4" w14:textId="15C615F9" w:rsidR="00BD6807" w:rsidRPr="00BD6807" w:rsidRDefault="00BD6807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щоденно проводиться оприбуткування матеріальних цінностей та послуг відповідно первинним документам;</w:t>
      </w:r>
    </w:p>
    <w:p w14:paraId="6B45A408" w14:textId="16ACD5BA" w:rsidR="00BD6807" w:rsidRDefault="00BD6807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щомісяця, постійно діючою комісією, проводиться списання матеріальних цінностей ( запасів, МШП), які використані для поточних потреб та тих, що є непридатні для подальшого використання;</w:t>
      </w:r>
    </w:p>
    <w:p w14:paraId="2AF342E7" w14:textId="030BB76D" w:rsidR="00BD6807" w:rsidRPr="00FA335E" w:rsidRDefault="00BD6807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провели інвентаризацію активів та зобов’язань, матеріальних цінностей за 2021 рік;</w:t>
      </w:r>
    </w:p>
    <w:p w14:paraId="1E9DFD22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щомісячно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проводилось </w:t>
      </w:r>
      <w:proofErr w:type="spellStart"/>
      <w:r w:rsidRPr="00FA335E">
        <w:rPr>
          <w:rFonts w:ascii="Times New Roman" w:hAnsi="Times New Roman"/>
          <w:sz w:val="28"/>
          <w:szCs w:val="28"/>
        </w:rPr>
        <w:t>зведення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даних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які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заносяться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335E">
        <w:rPr>
          <w:rFonts w:ascii="Times New Roman" w:hAnsi="Times New Roman"/>
          <w:sz w:val="28"/>
          <w:szCs w:val="28"/>
        </w:rPr>
        <w:t>Меморіальні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ордери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Головну книгу;</w:t>
      </w:r>
    </w:p>
    <w:p w14:paraId="2E04B641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вимог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відкритість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коштів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A335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Єдиному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FA335E">
        <w:rPr>
          <w:rFonts w:ascii="Times New Roman" w:hAnsi="Times New Roman"/>
          <w:sz w:val="28"/>
          <w:szCs w:val="28"/>
        </w:rPr>
        <w:t>порталі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(портал </w:t>
      </w:r>
      <w:r w:rsidRPr="00FA335E">
        <w:rPr>
          <w:rFonts w:ascii="Times New Roman" w:hAnsi="Times New Roman"/>
          <w:sz w:val="28"/>
          <w:szCs w:val="28"/>
          <w:lang w:val="en-US"/>
        </w:rPr>
        <w:t>E</w:t>
      </w:r>
      <w:r w:rsidRPr="00FA335E">
        <w:rPr>
          <w:rFonts w:ascii="Times New Roman" w:hAnsi="Times New Roman"/>
          <w:sz w:val="28"/>
          <w:szCs w:val="28"/>
        </w:rPr>
        <w:t>-</w:t>
      </w:r>
      <w:r w:rsidRPr="00FA335E">
        <w:rPr>
          <w:rFonts w:ascii="Times New Roman" w:hAnsi="Times New Roman"/>
          <w:sz w:val="28"/>
          <w:szCs w:val="28"/>
          <w:lang w:val="en-US"/>
        </w:rPr>
        <w:t>Data</w:t>
      </w:r>
      <w:r w:rsidRPr="00FA335E">
        <w:rPr>
          <w:rFonts w:ascii="Times New Roman" w:hAnsi="Times New Roman"/>
          <w:sz w:val="28"/>
          <w:szCs w:val="28"/>
        </w:rPr>
        <w:t xml:space="preserve">) 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кошти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5D0983C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щоденно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проводиться робота з документами у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                          АСД ДОК ПРОФ 3;</w:t>
      </w:r>
    </w:p>
    <w:p w14:paraId="2E6CE740" w14:textId="2E92432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близько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903345">
        <w:rPr>
          <w:rFonts w:ascii="Times New Roman" w:hAnsi="Times New Roman"/>
          <w:sz w:val="28"/>
          <w:szCs w:val="28"/>
          <w:lang w:val="uk-UA"/>
        </w:rPr>
        <w:t>20</w:t>
      </w:r>
      <w:r w:rsidRPr="00FA335E">
        <w:rPr>
          <w:rFonts w:ascii="Times New Roman" w:hAnsi="Times New Roman"/>
          <w:sz w:val="28"/>
          <w:szCs w:val="28"/>
        </w:rPr>
        <w:t>-</w:t>
      </w:r>
      <w:proofErr w:type="spellStart"/>
      <w:r w:rsidRPr="00FA335E">
        <w:rPr>
          <w:rFonts w:ascii="Times New Roman" w:hAnsi="Times New Roman"/>
          <w:sz w:val="28"/>
          <w:szCs w:val="28"/>
        </w:rPr>
        <w:t>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22F05798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голови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розроблялись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паспорти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ПЦМ на 2021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зміни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до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335E">
        <w:rPr>
          <w:rFonts w:ascii="Times New Roman" w:hAnsi="Times New Roman"/>
          <w:sz w:val="28"/>
          <w:szCs w:val="28"/>
        </w:rPr>
        <w:t>мірі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lastRenderedPageBreak/>
        <w:t xml:space="preserve">потреби,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рішень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сесій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795D37C9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зроблено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по паспортах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ПЦМ за 2020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832047F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аналіз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            2020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1E333F6" w14:textId="77777777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4D2436" w14:textId="7F77F3FA" w:rsidR="00FA335E" w:rsidRP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 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прийнятих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профінансовано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проведено оплату з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бюджету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суму </w:t>
      </w:r>
      <w:r w:rsidR="00903345">
        <w:rPr>
          <w:rFonts w:ascii="Times New Roman" w:hAnsi="Times New Roman"/>
          <w:sz w:val="28"/>
          <w:szCs w:val="28"/>
          <w:lang w:val="uk-UA"/>
        </w:rPr>
        <w:t>123 943 778,38</w:t>
      </w:r>
      <w:r w:rsidRPr="00FA335E">
        <w:rPr>
          <w:rFonts w:ascii="Times New Roman" w:hAnsi="Times New Roman"/>
          <w:sz w:val="28"/>
          <w:szCs w:val="28"/>
        </w:rPr>
        <w:t xml:space="preserve"> грн.</w:t>
      </w:r>
      <w:proofErr w:type="gramStart"/>
      <w:r w:rsidRPr="00FA335E">
        <w:rPr>
          <w:rFonts w:ascii="Times New Roman" w:hAnsi="Times New Roman"/>
          <w:sz w:val="28"/>
          <w:szCs w:val="28"/>
        </w:rPr>
        <w:t>,  а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саме</w:t>
      </w:r>
      <w:proofErr w:type="spellEnd"/>
      <w:r w:rsidRPr="00FA335E">
        <w:rPr>
          <w:rFonts w:ascii="Times New Roman" w:hAnsi="Times New Roman"/>
          <w:sz w:val="28"/>
          <w:szCs w:val="28"/>
        </w:rPr>
        <w:t>:</w:t>
      </w:r>
    </w:p>
    <w:p w14:paraId="1E72D5CE" w14:textId="13FA6C03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2021-2023рр. –  </w:t>
      </w:r>
      <w:r w:rsidR="00903345">
        <w:rPr>
          <w:rFonts w:ascii="Times New Roman" w:hAnsi="Times New Roman"/>
          <w:sz w:val="28"/>
          <w:szCs w:val="28"/>
          <w:lang w:val="uk-UA"/>
        </w:rPr>
        <w:t>1 735 554,67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3681146C" w14:textId="2C9FA479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35E">
        <w:rPr>
          <w:rFonts w:ascii="Times New Roman" w:hAnsi="Times New Roman"/>
          <w:sz w:val="28"/>
          <w:szCs w:val="28"/>
        </w:rPr>
        <w:t>ради  на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2020-2022рр. –  </w:t>
      </w:r>
      <w:r w:rsidR="00903345">
        <w:rPr>
          <w:rFonts w:ascii="Times New Roman" w:hAnsi="Times New Roman"/>
          <w:sz w:val="28"/>
          <w:szCs w:val="28"/>
          <w:lang w:val="uk-UA"/>
        </w:rPr>
        <w:t>902 200,00</w:t>
      </w:r>
      <w:r w:rsidRPr="00FA335E">
        <w:rPr>
          <w:rFonts w:ascii="Times New Roman" w:hAnsi="Times New Roman"/>
          <w:sz w:val="28"/>
          <w:szCs w:val="28"/>
        </w:rPr>
        <w:t>,00 грн.;</w:t>
      </w:r>
    </w:p>
    <w:p w14:paraId="10F9409A" w14:textId="5CB14B9F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335E"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стаціонарна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FA335E">
        <w:rPr>
          <w:rFonts w:ascii="Times New Roman" w:hAnsi="Times New Roman"/>
          <w:sz w:val="28"/>
          <w:szCs w:val="28"/>
        </w:rPr>
        <w:t>»  -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903345">
        <w:rPr>
          <w:rFonts w:ascii="Times New Roman" w:hAnsi="Times New Roman"/>
          <w:sz w:val="28"/>
          <w:szCs w:val="28"/>
          <w:lang w:val="uk-UA"/>
        </w:rPr>
        <w:t>9 973 112,49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5EDBA8EE" w14:textId="7E91DFC6" w:rsidR="00FA335E" w:rsidRPr="00903345" w:rsidRDefault="00FA335E" w:rsidP="0090334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що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центрами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(медико-</w:t>
      </w:r>
      <w:proofErr w:type="spellStart"/>
      <w:r w:rsidRPr="00FA335E">
        <w:rPr>
          <w:rFonts w:ascii="Times New Roman" w:hAnsi="Times New Roman"/>
          <w:sz w:val="28"/>
          <w:szCs w:val="28"/>
        </w:rPr>
        <w:t>санітарної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 - </w:t>
      </w:r>
      <w:r w:rsidR="00903345">
        <w:rPr>
          <w:rFonts w:ascii="Times New Roman" w:hAnsi="Times New Roman"/>
          <w:sz w:val="28"/>
          <w:szCs w:val="28"/>
          <w:lang w:val="uk-UA"/>
        </w:rPr>
        <w:t>1 482 266,89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1DE1224E" w14:textId="08AADF8D" w:rsidR="00903345" w:rsidRDefault="00FA335E" w:rsidP="0090334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інвестиційної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335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2021-2023рр. – </w:t>
      </w:r>
      <w:r w:rsidR="00903345">
        <w:rPr>
          <w:rFonts w:ascii="Times New Roman" w:hAnsi="Times New Roman"/>
          <w:sz w:val="28"/>
          <w:szCs w:val="28"/>
          <w:lang w:val="uk-UA"/>
        </w:rPr>
        <w:t>140 601,</w:t>
      </w:r>
      <w:r w:rsidRPr="00FA335E">
        <w:rPr>
          <w:rFonts w:ascii="Times New Roman" w:hAnsi="Times New Roman"/>
          <w:sz w:val="28"/>
          <w:szCs w:val="28"/>
        </w:rPr>
        <w:t>00 грн.;</w:t>
      </w:r>
    </w:p>
    <w:p w14:paraId="4FB616B8" w14:textId="207237DC" w:rsidR="00903345" w:rsidRPr="00903345" w:rsidRDefault="00903345" w:rsidP="00903345">
      <w:pPr>
        <w:pStyle w:val="a5"/>
        <w:ind w:left="1578"/>
        <w:rPr>
          <w:lang w:val="uk-UA"/>
        </w:rPr>
      </w:pPr>
    </w:p>
    <w:p w14:paraId="1E4ECA5D" w14:textId="66F5EF03" w:rsidR="00903345" w:rsidRPr="00903345" w:rsidRDefault="00903345" w:rsidP="0090334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розвитку туристичної галузі Мукачівської міської територіальної громади на 2021 рік- 49 000,00 грн.;</w:t>
      </w:r>
    </w:p>
    <w:p w14:paraId="2FC8F560" w14:textId="0DA87513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безоплатного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пільгового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відпуску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лікарських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мешканцям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2020-2022 роки – </w:t>
      </w:r>
      <w:r w:rsidR="00903345">
        <w:rPr>
          <w:rFonts w:ascii="Times New Roman" w:hAnsi="Times New Roman"/>
          <w:sz w:val="28"/>
          <w:szCs w:val="28"/>
          <w:lang w:val="uk-UA"/>
        </w:rPr>
        <w:t>23 227 349,99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4B7A2B5B" w14:textId="413D3BAD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</w:t>
      </w:r>
      <w:proofErr w:type="gramStart"/>
      <w:r w:rsidRPr="00FA335E">
        <w:rPr>
          <w:rFonts w:ascii="Times New Roman" w:hAnsi="Times New Roman"/>
          <w:sz w:val="28"/>
          <w:szCs w:val="28"/>
        </w:rPr>
        <w:t xml:space="preserve">2021 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–  </w:t>
      </w:r>
      <w:r w:rsidR="00903345">
        <w:rPr>
          <w:rFonts w:ascii="Times New Roman" w:hAnsi="Times New Roman"/>
          <w:sz w:val="28"/>
          <w:szCs w:val="28"/>
          <w:lang w:val="uk-UA"/>
        </w:rPr>
        <w:t>9 282 163,13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28DE26D7" w14:textId="226C849C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виплати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винагороди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Почесним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м. Мукачева на 2020-2022рр. –   </w:t>
      </w:r>
      <w:r w:rsidR="00853D02">
        <w:rPr>
          <w:rFonts w:ascii="Times New Roman" w:hAnsi="Times New Roman"/>
          <w:sz w:val="28"/>
          <w:szCs w:val="28"/>
          <w:lang w:val="uk-UA"/>
        </w:rPr>
        <w:t>1 778 000,00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6D84C558" w14:textId="3B1DE4A8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та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оборонної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роботи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  2021-2023рр. – </w:t>
      </w:r>
      <w:r w:rsidR="00853D02">
        <w:rPr>
          <w:rFonts w:ascii="Times New Roman" w:hAnsi="Times New Roman"/>
          <w:sz w:val="28"/>
          <w:szCs w:val="28"/>
          <w:lang w:val="uk-UA"/>
        </w:rPr>
        <w:t>33 500,00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1993A680" w14:textId="77777777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ТГ на                                          2020-2022рр. –  0,00 грн.;</w:t>
      </w:r>
    </w:p>
    <w:p w14:paraId="506734C5" w14:textId="16E01306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Міська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дітей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2020-2022 роки – </w:t>
      </w:r>
      <w:r w:rsidR="00853D02">
        <w:rPr>
          <w:rFonts w:ascii="Times New Roman" w:hAnsi="Times New Roman"/>
          <w:sz w:val="28"/>
          <w:szCs w:val="28"/>
          <w:lang w:val="uk-UA"/>
        </w:rPr>
        <w:t>4 578 954,28</w:t>
      </w:r>
      <w:r w:rsidRPr="00FA335E">
        <w:rPr>
          <w:rFonts w:ascii="Times New Roman" w:hAnsi="Times New Roman"/>
          <w:sz w:val="28"/>
          <w:szCs w:val="28"/>
        </w:rPr>
        <w:t xml:space="preserve"> грн.</w:t>
      </w:r>
      <w:r w:rsidR="00853D02">
        <w:rPr>
          <w:rFonts w:ascii="Times New Roman" w:hAnsi="Times New Roman"/>
          <w:sz w:val="28"/>
          <w:szCs w:val="28"/>
          <w:lang w:val="uk-UA"/>
        </w:rPr>
        <w:t xml:space="preserve">, в </w:t>
      </w:r>
      <w:proofErr w:type="spellStart"/>
      <w:r w:rsidR="00853D02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53D02">
        <w:rPr>
          <w:rFonts w:ascii="Times New Roman" w:hAnsi="Times New Roman"/>
          <w:sz w:val="28"/>
          <w:szCs w:val="28"/>
          <w:lang w:val="uk-UA"/>
        </w:rPr>
        <w:t xml:space="preserve"> на забезпечення житлом дітей-сиріт, дітей позбавлених батьківського піклування – 4 388 410,60 грн.;</w:t>
      </w:r>
    </w:p>
    <w:p w14:paraId="22605338" w14:textId="3A8F2703" w:rsidR="00FA335E" w:rsidRPr="00853D02" w:rsidRDefault="00853D02" w:rsidP="00853D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Членські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внески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асоціацій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органів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-  173 855,40 грн.;</w:t>
      </w:r>
    </w:p>
    <w:p w14:paraId="6465432A" w14:textId="3859216E" w:rsidR="00FA335E" w:rsidRPr="00853D02" w:rsidRDefault="00853D02" w:rsidP="00853D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Програма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поліпшення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несення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служби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виховного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процесу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військовій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частині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А1556 на 2021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рік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субвенція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з МБ ДБ на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програм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розвитку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регіонів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>) -</w:t>
      </w:r>
      <w:r w:rsidRPr="00853D02">
        <w:rPr>
          <w:rFonts w:ascii="Times New Roman" w:hAnsi="Times New Roman"/>
          <w:sz w:val="28"/>
          <w:szCs w:val="28"/>
          <w:lang w:val="uk-UA"/>
        </w:rPr>
        <w:t>2 429 741,00</w:t>
      </w:r>
      <w:r w:rsidR="00FA335E" w:rsidRPr="00853D02">
        <w:rPr>
          <w:rFonts w:ascii="Times New Roman" w:hAnsi="Times New Roman"/>
          <w:sz w:val="28"/>
          <w:szCs w:val="28"/>
        </w:rPr>
        <w:t xml:space="preserve"> грн.</w:t>
      </w:r>
    </w:p>
    <w:p w14:paraId="24B5BE28" w14:textId="4E64496F" w:rsidR="00903345" w:rsidRPr="00853D02" w:rsidRDefault="00853D02" w:rsidP="00853D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Програма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пожежної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техногенної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безпеки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міської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громади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 w:rsidR="00FA335E" w:rsidRPr="00853D02">
        <w:rPr>
          <w:rFonts w:ascii="Times New Roman" w:hAnsi="Times New Roman"/>
          <w:sz w:val="28"/>
          <w:szCs w:val="28"/>
        </w:rPr>
        <w:t>рік</w:t>
      </w:r>
      <w:proofErr w:type="spellEnd"/>
      <w:r w:rsidR="00FA335E" w:rsidRPr="00853D02">
        <w:rPr>
          <w:rFonts w:ascii="Times New Roman" w:hAnsi="Times New Roman"/>
          <w:sz w:val="28"/>
          <w:szCs w:val="28"/>
        </w:rPr>
        <w:t xml:space="preserve"> – 200 000,0 грн.;</w:t>
      </w:r>
    </w:p>
    <w:p w14:paraId="3DD38DA3" w14:textId="77777777" w:rsidR="00903345" w:rsidRPr="00853D02" w:rsidRDefault="00903345" w:rsidP="00853D02">
      <w:pPr>
        <w:rPr>
          <w:rFonts w:ascii="Times New Roman" w:hAnsi="Times New Roman"/>
          <w:sz w:val="28"/>
          <w:szCs w:val="28"/>
        </w:rPr>
      </w:pPr>
    </w:p>
    <w:p w14:paraId="5D55E76A" w14:textId="16F16D79" w:rsidR="00FA335E" w:rsidRPr="00853D02" w:rsidRDefault="00FA335E" w:rsidP="00853D02">
      <w:pPr>
        <w:rPr>
          <w:rFonts w:ascii="Times New Roman" w:hAnsi="Times New Roman"/>
          <w:sz w:val="28"/>
          <w:szCs w:val="28"/>
        </w:rPr>
      </w:pPr>
      <w:r w:rsidRPr="00853D02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853D0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53D0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фонду – </w:t>
      </w:r>
      <w:r w:rsidR="00853D02">
        <w:rPr>
          <w:rFonts w:ascii="Times New Roman" w:hAnsi="Times New Roman"/>
          <w:sz w:val="28"/>
          <w:szCs w:val="28"/>
          <w:lang w:val="uk-UA"/>
        </w:rPr>
        <w:t>484 072,24</w:t>
      </w:r>
      <w:r w:rsidRPr="00853D02">
        <w:rPr>
          <w:rFonts w:ascii="Times New Roman" w:hAnsi="Times New Roman"/>
          <w:sz w:val="28"/>
          <w:szCs w:val="28"/>
        </w:rPr>
        <w:t xml:space="preserve"> грн.;</w:t>
      </w:r>
    </w:p>
    <w:p w14:paraId="439BB176" w14:textId="3E175C51" w:rsidR="00FA335E" w:rsidRPr="00FA335E" w:rsidRDefault="00FA335E" w:rsidP="00853D02">
      <w:proofErr w:type="spellStart"/>
      <w:r w:rsidRPr="00853D02">
        <w:rPr>
          <w:rFonts w:ascii="Times New Roman" w:hAnsi="Times New Roman"/>
          <w:sz w:val="28"/>
          <w:szCs w:val="28"/>
        </w:rPr>
        <w:t>Виплата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лікарняних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53D0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853D02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D02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853D02">
        <w:rPr>
          <w:rFonts w:ascii="Times New Roman" w:hAnsi="Times New Roman"/>
          <w:sz w:val="28"/>
          <w:szCs w:val="28"/>
        </w:rPr>
        <w:t xml:space="preserve"> – </w:t>
      </w:r>
      <w:r w:rsidR="00853D02">
        <w:rPr>
          <w:rFonts w:ascii="Times New Roman" w:hAnsi="Times New Roman"/>
          <w:sz w:val="28"/>
          <w:szCs w:val="28"/>
          <w:lang w:val="uk-UA"/>
        </w:rPr>
        <w:t>854 447,99 грн</w:t>
      </w:r>
      <w:r w:rsidRPr="00FA335E">
        <w:t>;</w:t>
      </w:r>
    </w:p>
    <w:p w14:paraId="46F3E18B" w14:textId="4BD5B9D8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(зарплата,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відрядження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комунальні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поточні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</w:t>
      </w:r>
      <w:r w:rsidR="00965E4E">
        <w:rPr>
          <w:rFonts w:ascii="Times New Roman" w:hAnsi="Times New Roman"/>
          <w:sz w:val="28"/>
          <w:szCs w:val="28"/>
          <w:lang w:val="uk-UA"/>
        </w:rPr>
        <w:t>65 082 108,96</w:t>
      </w:r>
      <w:r w:rsidRPr="00FA335E">
        <w:rPr>
          <w:rFonts w:ascii="Times New Roman" w:hAnsi="Times New Roman"/>
          <w:sz w:val="28"/>
          <w:szCs w:val="28"/>
        </w:rPr>
        <w:t xml:space="preserve"> грн.;</w:t>
      </w:r>
    </w:p>
    <w:p w14:paraId="15207DFF" w14:textId="75B1BD54" w:rsidR="00FA335E" w:rsidRP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фонду (</w:t>
      </w:r>
      <w:proofErr w:type="spellStart"/>
      <w:r w:rsidRPr="00FA335E">
        <w:rPr>
          <w:rFonts w:ascii="Times New Roman" w:hAnsi="Times New Roman"/>
          <w:sz w:val="28"/>
          <w:szCs w:val="28"/>
        </w:rPr>
        <w:t>власні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FA335E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  </w:t>
      </w:r>
      <w:r w:rsidR="00965E4E">
        <w:rPr>
          <w:rFonts w:ascii="Times New Roman" w:hAnsi="Times New Roman"/>
          <w:sz w:val="28"/>
          <w:szCs w:val="28"/>
          <w:lang w:val="uk-UA"/>
        </w:rPr>
        <w:t>887 660,33</w:t>
      </w:r>
      <w:r w:rsidRPr="00FA335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A335E">
        <w:rPr>
          <w:rFonts w:ascii="Times New Roman" w:hAnsi="Times New Roman"/>
          <w:sz w:val="28"/>
          <w:szCs w:val="28"/>
        </w:rPr>
        <w:t>грн.;</w:t>
      </w:r>
    </w:p>
    <w:p w14:paraId="1A8E53B7" w14:textId="2D25EE59" w:rsidR="00FA335E" w:rsidRDefault="00FA335E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видатки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фонду (бюджет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– </w:t>
      </w:r>
      <w:r w:rsidR="00447823">
        <w:rPr>
          <w:rFonts w:ascii="Times New Roman" w:hAnsi="Times New Roman"/>
          <w:sz w:val="28"/>
          <w:szCs w:val="28"/>
          <w:lang w:val="uk-UA"/>
        </w:rPr>
        <w:t>941 498,00</w:t>
      </w:r>
      <w:r w:rsidRPr="00FA335E">
        <w:rPr>
          <w:rFonts w:ascii="Times New Roman" w:hAnsi="Times New Roman"/>
          <w:sz w:val="28"/>
          <w:szCs w:val="28"/>
        </w:rPr>
        <w:t xml:space="preserve"> грн.; </w:t>
      </w:r>
    </w:p>
    <w:p w14:paraId="2335A49A" w14:textId="4F9314F3" w:rsidR="00411515" w:rsidRPr="00FA335E" w:rsidRDefault="00411515" w:rsidP="00FA335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видатки на розвиток мережі центрів надання адміністративних послуг – 562 140,00 грн;</w:t>
      </w:r>
    </w:p>
    <w:p w14:paraId="612E502C" w14:textId="77777777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Виконувались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доручення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48C686C5" w14:textId="77777777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Успішно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здані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місячні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335E">
        <w:rPr>
          <w:rFonts w:ascii="Times New Roman" w:hAnsi="Times New Roman"/>
          <w:sz w:val="28"/>
          <w:szCs w:val="28"/>
        </w:rPr>
        <w:t>квартальний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за 2021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A335E">
        <w:rPr>
          <w:rFonts w:ascii="Times New Roman" w:hAnsi="Times New Roman"/>
          <w:sz w:val="28"/>
          <w:szCs w:val="28"/>
        </w:rPr>
        <w:t>річний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2020 </w:t>
      </w:r>
      <w:proofErr w:type="spellStart"/>
      <w:r w:rsidRPr="00FA335E">
        <w:rPr>
          <w:rFonts w:ascii="Times New Roman" w:hAnsi="Times New Roman"/>
          <w:sz w:val="28"/>
          <w:szCs w:val="28"/>
        </w:rPr>
        <w:t>рік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032D04CB" w14:textId="77777777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1D8F53" w14:textId="77777777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цільових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виконавчим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комітетом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               </w:t>
      </w:r>
    </w:p>
    <w:p w14:paraId="16104A1C" w14:textId="44F2B7FC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FA335E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35E">
        <w:rPr>
          <w:rFonts w:ascii="Times New Roman" w:hAnsi="Times New Roman"/>
          <w:sz w:val="28"/>
          <w:szCs w:val="28"/>
        </w:rPr>
        <w:t>ради  за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447823">
        <w:rPr>
          <w:rFonts w:ascii="Times New Roman" w:hAnsi="Times New Roman"/>
          <w:sz w:val="28"/>
          <w:szCs w:val="28"/>
          <w:lang w:val="uk-UA"/>
        </w:rPr>
        <w:t>12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місяців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2021року.</w:t>
      </w:r>
    </w:p>
    <w:p w14:paraId="09F7CE65" w14:textId="77777777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B5B157" w14:textId="4A9E6BCF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         У 2021 </w:t>
      </w:r>
      <w:proofErr w:type="spellStart"/>
      <w:r w:rsidRPr="00FA335E">
        <w:rPr>
          <w:rFonts w:ascii="Times New Roman" w:hAnsi="Times New Roman"/>
          <w:sz w:val="28"/>
          <w:szCs w:val="28"/>
        </w:rPr>
        <w:t>році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цільові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335E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447823">
        <w:rPr>
          <w:rFonts w:ascii="Times New Roman" w:hAnsi="Times New Roman"/>
          <w:sz w:val="28"/>
          <w:szCs w:val="28"/>
          <w:lang w:val="uk-UA"/>
        </w:rPr>
        <w:t>23 443 947,00</w:t>
      </w:r>
      <w:r w:rsidRPr="00FA335E">
        <w:rPr>
          <w:rFonts w:ascii="Times New Roman" w:hAnsi="Times New Roman"/>
          <w:sz w:val="28"/>
          <w:szCs w:val="28"/>
        </w:rPr>
        <w:t xml:space="preserve">грн.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447823">
        <w:rPr>
          <w:rFonts w:ascii="Times New Roman" w:hAnsi="Times New Roman"/>
          <w:sz w:val="28"/>
          <w:szCs w:val="28"/>
          <w:lang w:val="uk-UA"/>
        </w:rPr>
        <w:t>23</w:t>
      </w:r>
      <w:proofErr w:type="gramEnd"/>
      <w:r w:rsidR="00447823">
        <w:rPr>
          <w:rFonts w:ascii="Times New Roman" w:hAnsi="Times New Roman"/>
          <w:sz w:val="28"/>
          <w:szCs w:val="28"/>
          <w:lang w:val="uk-UA"/>
        </w:rPr>
        <w:t> 227 349,99</w:t>
      </w:r>
      <w:r w:rsidRPr="00FA335E">
        <w:rPr>
          <w:rFonts w:ascii="Times New Roman" w:hAnsi="Times New Roman"/>
          <w:sz w:val="28"/>
          <w:szCs w:val="28"/>
        </w:rPr>
        <w:t xml:space="preserve"> грн. .</w:t>
      </w:r>
      <w:r w:rsidRPr="00FA335E">
        <w:rPr>
          <w:rFonts w:ascii="Times New Roman" w:hAnsi="Times New Roman"/>
          <w:sz w:val="28"/>
          <w:szCs w:val="28"/>
        </w:rPr>
        <w:tab/>
      </w:r>
    </w:p>
    <w:p w14:paraId="0F61165F" w14:textId="5D5F6A1B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Медикаментозне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пільгових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до Постанови </w:t>
      </w:r>
      <w:proofErr w:type="spellStart"/>
      <w:r w:rsidRPr="00FA335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17.08.1998 року №1303 «Про </w:t>
      </w:r>
      <w:proofErr w:type="spellStart"/>
      <w:r w:rsidRPr="00FA335E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безоплатного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пільгового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відпуску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лікарських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рецептами </w:t>
      </w:r>
      <w:proofErr w:type="spellStart"/>
      <w:r w:rsidRPr="00FA335E">
        <w:rPr>
          <w:rFonts w:ascii="Times New Roman" w:hAnsi="Times New Roman"/>
          <w:sz w:val="28"/>
          <w:szCs w:val="28"/>
        </w:rPr>
        <w:t>лікарів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335E">
        <w:rPr>
          <w:rFonts w:ascii="Times New Roman" w:hAnsi="Times New Roman"/>
          <w:sz w:val="28"/>
          <w:szCs w:val="28"/>
        </w:rPr>
        <w:t>разі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амбулаторного </w:t>
      </w:r>
      <w:proofErr w:type="spellStart"/>
      <w:r w:rsidRPr="00FA335E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окремих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груп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певними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447823">
        <w:rPr>
          <w:rFonts w:ascii="Times New Roman" w:hAnsi="Times New Roman"/>
          <w:sz w:val="28"/>
          <w:szCs w:val="28"/>
          <w:lang w:val="uk-UA"/>
        </w:rPr>
        <w:t>8</w:t>
      </w:r>
      <w:proofErr w:type="gramEnd"/>
      <w:r w:rsidRPr="00FA335E">
        <w:rPr>
          <w:rFonts w:ascii="Times New Roman" w:hAnsi="Times New Roman"/>
          <w:sz w:val="28"/>
          <w:szCs w:val="28"/>
        </w:rPr>
        <w:t> </w:t>
      </w:r>
      <w:r w:rsidR="00447823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 xml:space="preserve">00 000,0 грн.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 </w:t>
      </w:r>
      <w:r w:rsidR="00447823">
        <w:rPr>
          <w:rFonts w:ascii="Times New Roman" w:hAnsi="Times New Roman"/>
          <w:sz w:val="28"/>
          <w:szCs w:val="28"/>
          <w:lang w:val="uk-UA"/>
        </w:rPr>
        <w:t>8 099 979,00</w:t>
      </w:r>
      <w:r w:rsidRPr="00FA335E">
        <w:rPr>
          <w:rFonts w:ascii="Times New Roman" w:hAnsi="Times New Roman"/>
          <w:sz w:val="28"/>
          <w:szCs w:val="28"/>
        </w:rPr>
        <w:t xml:space="preserve"> грн. </w:t>
      </w:r>
    </w:p>
    <w:p w14:paraId="1AA40419" w14:textId="02E813C5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2.</w:t>
      </w:r>
      <w:proofErr w:type="gramStart"/>
      <w:r w:rsidRPr="00FA335E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Розвиток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A335E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нефрологічної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служби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335E">
        <w:rPr>
          <w:rFonts w:ascii="Times New Roman" w:hAnsi="Times New Roman"/>
          <w:sz w:val="28"/>
          <w:szCs w:val="28"/>
        </w:rPr>
        <w:t>попередньому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рівні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447823">
        <w:rPr>
          <w:rFonts w:ascii="Times New Roman" w:hAnsi="Times New Roman"/>
          <w:sz w:val="28"/>
          <w:szCs w:val="28"/>
          <w:lang w:val="uk-UA"/>
        </w:rPr>
        <w:t>6</w:t>
      </w:r>
      <w:r w:rsidRPr="00FA335E">
        <w:rPr>
          <w:rFonts w:ascii="Times New Roman" w:hAnsi="Times New Roman"/>
          <w:sz w:val="28"/>
          <w:szCs w:val="28"/>
        </w:rPr>
        <w:t xml:space="preserve">50 000,0 грн. </w:t>
      </w:r>
      <w:proofErr w:type="spellStart"/>
      <w:r w:rsidRPr="00FA335E">
        <w:rPr>
          <w:rFonts w:ascii="Times New Roman" w:hAnsi="Times New Roman"/>
          <w:sz w:val="28"/>
          <w:szCs w:val="28"/>
        </w:rPr>
        <w:t>із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яких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B74419">
        <w:rPr>
          <w:rFonts w:ascii="Times New Roman" w:hAnsi="Times New Roman"/>
          <w:sz w:val="28"/>
          <w:szCs w:val="28"/>
          <w:lang w:val="uk-UA"/>
        </w:rPr>
        <w:t>5</w:t>
      </w:r>
      <w:r w:rsidR="00447823">
        <w:rPr>
          <w:rFonts w:ascii="Times New Roman" w:hAnsi="Times New Roman"/>
          <w:sz w:val="28"/>
          <w:szCs w:val="28"/>
          <w:lang w:val="uk-UA"/>
        </w:rPr>
        <w:t>38</w:t>
      </w:r>
      <w:r w:rsidR="00B74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823">
        <w:rPr>
          <w:rFonts w:ascii="Times New Roman" w:hAnsi="Times New Roman"/>
          <w:sz w:val="28"/>
          <w:szCs w:val="28"/>
          <w:lang w:val="uk-UA"/>
        </w:rPr>
        <w:t>188,71</w:t>
      </w:r>
      <w:r w:rsidRPr="00FA335E">
        <w:rPr>
          <w:rFonts w:ascii="Times New Roman" w:hAnsi="Times New Roman"/>
          <w:sz w:val="28"/>
          <w:szCs w:val="28"/>
        </w:rPr>
        <w:t xml:space="preserve"> грн.</w:t>
      </w:r>
    </w:p>
    <w:p w14:paraId="213DE570" w14:textId="77777777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3.</w:t>
      </w:r>
      <w:r w:rsidRPr="00FA335E">
        <w:rPr>
          <w:rFonts w:ascii="Times New Roman" w:hAnsi="Times New Roman"/>
          <w:sz w:val="28"/>
          <w:szCs w:val="28"/>
        </w:rPr>
        <w:tab/>
      </w:r>
      <w:proofErr w:type="spellStart"/>
      <w:r w:rsidRPr="00FA335E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пацієнтів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з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онкологічними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захворюваннями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335E">
        <w:rPr>
          <w:rFonts w:ascii="Times New Roman" w:hAnsi="Times New Roman"/>
          <w:sz w:val="28"/>
          <w:szCs w:val="28"/>
        </w:rPr>
        <w:t>виділено</w:t>
      </w:r>
      <w:proofErr w:type="spellEnd"/>
    </w:p>
    <w:p w14:paraId="5E97AF8F" w14:textId="1AFE3633" w:rsidR="00FA335E" w:rsidRP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 3 </w:t>
      </w:r>
      <w:r w:rsidR="00447823">
        <w:rPr>
          <w:rFonts w:ascii="Times New Roman" w:hAnsi="Times New Roman"/>
          <w:sz w:val="28"/>
          <w:szCs w:val="28"/>
          <w:lang w:val="uk-UA"/>
        </w:rPr>
        <w:t>6</w:t>
      </w:r>
      <w:r w:rsidRPr="00FA335E">
        <w:rPr>
          <w:rFonts w:ascii="Times New Roman" w:hAnsi="Times New Roman"/>
          <w:sz w:val="28"/>
          <w:szCs w:val="28"/>
        </w:rPr>
        <w:t>00 000,0 грн.</w:t>
      </w:r>
      <w:proofErr w:type="gramStart"/>
      <w:r w:rsidRPr="00FA335E">
        <w:rPr>
          <w:rFonts w:ascii="Times New Roman" w:hAnsi="Times New Roman"/>
          <w:sz w:val="28"/>
          <w:szCs w:val="28"/>
        </w:rPr>
        <w:t>,  за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447823">
        <w:rPr>
          <w:rFonts w:ascii="Times New Roman" w:hAnsi="Times New Roman"/>
          <w:sz w:val="28"/>
          <w:szCs w:val="28"/>
          <w:lang w:val="uk-UA"/>
        </w:rPr>
        <w:t>3 536 956,31</w:t>
      </w:r>
      <w:r w:rsidRPr="00FA335E">
        <w:rPr>
          <w:rFonts w:ascii="Times New Roman" w:hAnsi="Times New Roman"/>
          <w:sz w:val="28"/>
          <w:szCs w:val="28"/>
        </w:rPr>
        <w:t xml:space="preserve"> грн.</w:t>
      </w:r>
    </w:p>
    <w:p w14:paraId="7C36F1CA" w14:textId="1213445F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4.</w:t>
      </w:r>
      <w:r w:rsidRPr="00FA335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Медикаментозне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осіб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з  </w:t>
      </w:r>
      <w:proofErr w:type="spellStart"/>
      <w:r w:rsidRPr="00FA335E">
        <w:rPr>
          <w:rFonts w:ascii="Times New Roman" w:hAnsi="Times New Roman"/>
          <w:sz w:val="28"/>
          <w:szCs w:val="28"/>
        </w:rPr>
        <w:t>трансплантованими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органами 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447823">
        <w:rPr>
          <w:rFonts w:ascii="Times New Roman" w:hAnsi="Times New Roman"/>
          <w:sz w:val="28"/>
          <w:szCs w:val="28"/>
          <w:lang w:val="uk-UA"/>
        </w:rPr>
        <w:t>68</w:t>
      </w:r>
      <w:r w:rsidRPr="00FA335E">
        <w:rPr>
          <w:rFonts w:ascii="Times New Roman" w:hAnsi="Times New Roman"/>
          <w:sz w:val="28"/>
          <w:szCs w:val="28"/>
        </w:rPr>
        <w:t xml:space="preserve">0 000,0 грн.,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447823">
        <w:rPr>
          <w:rFonts w:ascii="Times New Roman" w:hAnsi="Times New Roman"/>
          <w:sz w:val="28"/>
          <w:szCs w:val="28"/>
          <w:lang w:val="uk-UA"/>
        </w:rPr>
        <w:t>642 945,00</w:t>
      </w:r>
      <w:r w:rsidRPr="00FA335E">
        <w:rPr>
          <w:rFonts w:ascii="Times New Roman" w:hAnsi="Times New Roman"/>
          <w:sz w:val="28"/>
          <w:szCs w:val="28"/>
        </w:rPr>
        <w:t xml:space="preserve"> грн. </w:t>
      </w:r>
    </w:p>
    <w:p w14:paraId="62E6C15A" w14:textId="3A8BF1CF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5.</w:t>
      </w:r>
      <w:r w:rsidRPr="00FA335E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хворим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 на  </w:t>
      </w:r>
      <w:proofErr w:type="spellStart"/>
      <w:r w:rsidRPr="00FA335E">
        <w:rPr>
          <w:rFonts w:ascii="Times New Roman" w:hAnsi="Times New Roman"/>
          <w:sz w:val="28"/>
          <w:szCs w:val="28"/>
        </w:rPr>
        <w:t>фенілкетонурію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447823">
        <w:rPr>
          <w:rFonts w:ascii="Times New Roman" w:hAnsi="Times New Roman"/>
          <w:sz w:val="28"/>
          <w:szCs w:val="28"/>
          <w:lang w:val="uk-UA"/>
        </w:rPr>
        <w:t>13</w:t>
      </w:r>
      <w:r w:rsidRPr="00FA335E">
        <w:rPr>
          <w:rFonts w:ascii="Times New Roman" w:hAnsi="Times New Roman"/>
          <w:sz w:val="28"/>
          <w:szCs w:val="28"/>
        </w:rPr>
        <w:t xml:space="preserve">00 000,0 грн., </w:t>
      </w:r>
      <w:proofErr w:type="spellStart"/>
      <w:r w:rsidRPr="00FA335E">
        <w:rPr>
          <w:rFonts w:ascii="Times New Roman" w:hAnsi="Times New Roman"/>
          <w:sz w:val="28"/>
          <w:szCs w:val="28"/>
        </w:rPr>
        <w:t>профінансовано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період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447823">
        <w:rPr>
          <w:rFonts w:ascii="Times New Roman" w:hAnsi="Times New Roman"/>
          <w:sz w:val="28"/>
          <w:szCs w:val="28"/>
          <w:lang w:val="uk-UA"/>
        </w:rPr>
        <w:t>1 299 759,00</w:t>
      </w:r>
      <w:r w:rsidRPr="00FA335E">
        <w:rPr>
          <w:rFonts w:ascii="Times New Roman" w:hAnsi="Times New Roman"/>
          <w:sz w:val="28"/>
          <w:szCs w:val="28"/>
        </w:rPr>
        <w:t xml:space="preserve"> грн. </w:t>
      </w:r>
    </w:p>
    <w:p w14:paraId="499473FC" w14:textId="3C2F5FF8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lastRenderedPageBreak/>
        <w:t>6.</w:t>
      </w:r>
      <w:r w:rsidRPr="00FA335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медикаментами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ветеранів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ВВВ  та  </w:t>
      </w:r>
      <w:proofErr w:type="spellStart"/>
      <w:r w:rsidRPr="00FA335E">
        <w:rPr>
          <w:rFonts w:ascii="Times New Roman" w:hAnsi="Times New Roman"/>
          <w:sz w:val="28"/>
          <w:szCs w:val="28"/>
        </w:rPr>
        <w:t>виробами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- </w:t>
      </w:r>
      <w:r w:rsidR="00447823">
        <w:rPr>
          <w:rFonts w:ascii="Times New Roman" w:hAnsi="Times New Roman"/>
          <w:sz w:val="28"/>
          <w:szCs w:val="28"/>
          <w:lang w:val="uk-UA"/>
        </w:rPr>
        <w:t>1</w:t>
      </w:r>
      <w:r w:rsidRPr="00FA335E">
        <w:rPr>
          <w:rFonts w:ascii="Times New Roman" w:hAnsi="Times New Roman"/>
          <w:sz w:val="28"/>
          <w:szCs w:val="28"/>
        </w:rPr>
        <w:t> </w:t>
      </w:r>
      <w:r w:rsidR="00447823">
        <w:rPr>
          <w:rFonts w:ascii="Times New Roman" w:hAnsi="Times New Roman"/>
          <w:sz w:val="28"/>
          <w:szCs w:val="28"/>
          <w:lang w:val="uk-UA"/>
        </w:rPr>
        <w:t>71</w:t>
      </w:r>
      <w:r w:rsidRPr="00FA335E">
        <w:rPr>
          <w:rFonts w:ascii="Times New Roman" w:hAnsi="Times New Roman"/>
          <w:sz w:val="28"/>
          <w:szCs w:val="28"/>
        </w:rPr>
        <w:t xml:space="preserve">0 000,0 грн.,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1</w:t>
      </w:r>
      <w:r w:rsidR="00447823">
        <w:rPr>
          <w:rFonts w:ascii="Times New Roman" w:hAnsi="Times New Roman"/>
          <w:sz w:val="28"/>
          <w:szCs w:val="28"/>
        </w:rPr>
        <w:t> </w:t>
      </w:r>
      <w:r w:rsidR="00447823">
        <w:rPr>
          <w:rFonts w:ascii="Times New Roman" w:hAnsi="Times New Roman"/>
          <w:sz w:val="28"/>
          <w:szCs w:val="28"/>
          <w:lang w:val="uk-UA"/>
        </w:rPr>
        <w:t>709 984,71</w:t>
      </w:r>
      <w:r w:rsidRPr="00FA335E">
        <w:rPr>
          <w:rFonts w:ascii="Times New Roman" w:hAnsi="Times New Roman"/>
          <w:sz w:val="28"/>
          <w:szCs w:val="28"/>
        </w:rPr>
        <w:t xml:space="preserve"> грн. </w:t>
      </w:r>
    </w:p>
    <w:p w14:paraId="5F325FAA" w14:textId="7957E575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7.</w:t>
      </w:r>
      <w:r w:rsidRPr="00FA335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Безкоштовного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відпуску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ліків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за  рецептами  </w:t>
      </w:r>
      <w:proofErr w:type="spellStart"/>
      <w:r w:rsidRPr="00FA335E">
        <w:rPr>
          <w:rFonts w:ascii="Times New Roman" w:hAnsi="Times New Roman"/>
          <w:sz w:val="28"/>
          <w:szCs w:val="28"/>
        </w:rPr>
        <w:t>лікарів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A335E">
        <w:rPr>
          <w:rFonts w:ascii="Times New Roman" w:hAnsi="Times New Roman"/>
          <w:sz w:val="28"/>
          <w:szCs w:val="28"/>
        </w:rPr>
        <w:t>вірусних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гепатитах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розсіяному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склерозі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447823">
        <w:rPr>
          <w:rFonts w:ascii="Times New Roman" w:hAnsi="Times New Roman"/>
          <w:sz w:val="28"/>
          <w:szCs w:val="28"/>
          <w:lang w:val="uk-UA"/>
        </w:rPr>
        <w:t>21</w:t>
      </w:r>
      <w:r w:rsidRPr="00FA335E">
        <w:rPr>
          <w:rFonts w:ascii="Times New Roman" w:hAnsi="Times New Roman"/>
          <w:sz w:val="28"/>
          <w:szCs w:val="28"/>
        </w:rPr>
        <w:t xml:space="preserve">8 000,0 грн.,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447823">
        <w:rPr>
          <w:rFonts w:ascii="Times New Roman" w:hAnsi="Times New Roman"/>
          <w:sz w:val="28"/>
          <w:szCs w:val="28"/>
          <w:lang w:val="uk-UA"/>
        </w:rPr>
        <w:t>208 646,38</w:t>
      </w:r>
      <w:r w:rsidRPr="00FA335E">
        <w:rPr>
          <w:rFonts w:ascii="Times New Roman" w:hAnsi="Times New Roman"/>
          <w:sz w:val="28"/>
          <w:szCs w:val="28"/>
        </w:rPr>
        <w:t xml:space="preserve"> грн. </w:t>
      </w:r>
    </w:p>
    <w:p w14:paraId="2A8CE3C9" w14:textId="68D2AB68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8.</w:t>
      </w:r>
      <w:r w:rsidRPr="00FA335E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Реабілітація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інвалідів</w:t>
      </w:r>
      <w:proofErr w:type="spellEnd"/>
      <w:proofErr w:type="gramEnd"/>
      <w:r w:rsidRPr="00FA335E">
        <w:rPr>
          <w:rFonts w:ascii="Times New Roman" w:hAnsi="Times New Roman"/>
          <w:sz w:val="28"/>
          <w:szCs w:val="28"/>
        </w:rPr>
        <w:t xml:space="preserve"> –  для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кало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-та </w:t>
      </w:r>
      <w:proofErr w:type="spellStart"/>
      <w:r w:rsidRPr="00FA335E">
        <w:rPr>
          <w:rFonts w:ascii="Times New Roman" w:hAnsi="Times New Roman"/>
          <w:sz w:val="28"/>
          <w:szCs w:val="28"/>
        </w:rPr>
        <w:t>сечоприймачів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792 000,0 грн.,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447823">
        <w:rPr>
          <w:rFonts w:ascii="Times New Roman" w:hAnsi="Times New Roman"/>
          <w:sz w:val="28"/>
          <w:szCs w:val="28"/>
          <w:lang w:val="uk-UA"/>
        </w:rPr>
        <w:t>791 989,99</w:t>
      </w:r>
      <w:r w:rsidRPr="00FA335E">
        <w:rPr>
          <w:rFonts w:ascii="Times New Roman" w:hAnsi="Times New Roman"/>
          <w:sz w:val="28"/>
          <w:szCs w:val="28"/>
        </w:rPr>
        <w:t xml:space="preserve"> грн.</w:t>
      </w:r>
    </w:p>
    <w:p w14:paraId="7A0B667D" w14:textId="1C4B20A5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9.</w:t>
      </w:r>
      <w:r w:rsidRPr="00FA335E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«</w:t>
      </w:r>
      <w:proofErr w:type="spellStart"/>
      <w:proofErr w:type="gramEnd"/>
      <w:r w:rsidRPr="00FA335E">
        <w:rPr>
          <w:rFonts w:ascii="Times New Roman" w:hAnsi="Times New Roman"/>
          <w:sz w:val="28"/>
          <w:szCs w:val="28"/>
        </w:rPr>
        <w:t>цукровий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A335E">
        <w:rPr>
          <w:rFonts w:ascii="Times New Roman" w:hAnsi="Times New Roman"/>
          <w:sz w:val="28"/>
          <w:szCs w:val="28"/>
        </w:rPr>
        <w:t>нецукровий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335E">
        <w:rPr>
          <w:rFonts w:ascii="Times New Roman" w:hAnsi="Times New Roman"/>
          <w:sz w:val="28"/>
          <w:szCs w:val="28"/>
        </w:rPr>
        <w:t>діабет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» - </w:t>
      </w:r>
      <w:r w:rsidR="00447823">
        <w:rPr>
          <w:rFonts w:ascii="Times New Roman" w:hAnsi="Times New Roman"/>
          <w:sz w:val="28"/>
          <w:szCs w:val="28"/>
          <w:lang w:val="uk-UA"/>
        </w:rPr>
        <w:t>5</w:t>
      </w:r>
      <w:r w:rsidR="00B74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823">
        <w:rPr>
          <w:rFonts w:ascii="Times New Roman" w:hAnsi="Times New Roman"/>
          <w:sz w:val="28"/>
          <w:szCs w:val="28"/>
          <w:lang w:val="uk-UA"/>
        </w:rPr>
        <w:t>498 047</w:t>
      </w:r>
      <w:r w:rsidRPr="00FA335E">
        <w:rPr>
          <w:rFonts w:ascii="Times New Roman" w:hAnsi="Times New Roman"/>
          <w:sz w:val="28"/>
          <w:szCs w:val="28"/>
        </w:rPr>
        <w:t>,</w:t>
      </w:r>
      <w:r w:rsidR="00447823">
        <w:rPr>
          <w:rFonts w:ascii="Times New Roman" w:hAnsi="Times New Roman"/>
          <w:sz w:val="28"/>
          <w:szCs w:val="28"/>
          <w:lang w:val="uk-UA"/>
        </w:rPr>
        <w:t>0</w:t>
      </w:r>
      <w:r w:rsidRPr="00FA335E">
        <w:rPr>
          <w:rFonts w:ascii="Times New Roman" w:hAnsi="Times New Roman"/>
          <w:sz w:val="28"/>
          <w:szCs w:val="28"/>
        </w:rPr>
        <w:t xml:space="preserve">0 грн.  з </w:t>
      </w:r>
      <w:proofErr w:type="spellStart"/>
      <w:r w:rsidRPr="00FA335E">
        <w:rPr>
          <w:rFonts w:ascii="Times New Roman" w:hAnsi="Times New Roman"/>
          <w:sz w:val="28"/>
          <w:szCs w:val="28"/>
        </w:rPr>
        <w:t>яких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447823">
        <w:rPr>
          <w:rFonts w:ascii="Times New Roman" w:hAnsi="Times New Roman"/>
          <w:sz w:val="28"/>
          <w:szCs w:val="28"/>
          <w:lang w:val="uk-UA"/>
        </w:rPr>
        <w:t>5 415 440,80</w:t>
      </w:r>
      <w:r w:rsidRPr="00FA335E">
        <w:rPr>
          <w:rFonts w:ascii="Times New Roman" w:hAnsi="Times New Roman"/>
          <w:sz w:val="28"/>
          <w:szCs w:val="28"/>
        </w:rPr>
        <w:t xml:space="preserve"> грн. </w:t>
      </w:r>
    </w:p>
    <w:p w14:paraId="14E13AA4" w14:textId="75E59C10" w:rsidR="00B74419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FA335E">
        <w:rPr>
          <w:rFonts w:ascii="Times New Roman" w:hAnsi="Times New Roman"/>
          <w:sz w:val="28"/>
          <w:szCs w:val="28"/>
        </w:rPr>
        <w:t>Зубопротезування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ветеранів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Великої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Вітчизняної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війни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B74419">
        <w:rPr>
          <w:rFonts w:ascii="Times New Roman" w:hAnsi="Times New Roman"/>
          <w:sz w:val="28"/>
          <w:szCs w:val="28"/>
        </w:rPr>
        <w:t>–</w:t>
      </w:r>
      <w:r w:rsidRPr="00FA335E">
        <w:rPr>
          <w:rFonts w:ascii="Times New Roman" w:hAnsi="Times New Roman"/>
          <w:sz w:val="28"/>
          <w:szCs w:val="28"/>
        </w:rPr>
        <w:t xml:space="preserve"> </w:t>
      </w:r>
    </w:p>
    <w:p w14:paraId="2267CCC3" w14:textId="093016A4" w:rsidR="00FA335E" w:rsidRPr="00FA335E" w:rsidRDefault="00FA335E" w:rsidP="00B7441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>200 000,0 грн.</w:t>
      </w:r>
      <w:proofErr w:type="gramStart"/>
      <w:r w:rsidRPr="00FA335E">
        <w:rPr>
          <w:rFonts w:ascii="Times New Roman" w:hAnsi="Times New Roman"/>
          <w:sz w:val="28"/>
          <w:szCs w:val="28"/>
        </w:rPr>
        <w:t>,  з</w:t>
      </w:r>
      <w:proofErr w:type="gram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яких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D854D1">
        <w:rPr>
          <w:rFonts w:ascii="Times New Roman" w:hAnsi="Times New Roman"/>
          <w:sz w:val="28"/>
          <w:szCs w:val="28"/>
          <w:lang w:val="uk-UA"/>
        </w:rPr>
        <w:t>199 314,45</w:t>
      </w:r>
      <w:r w:rsidRPr="00FA335E">
        <w:rPr>
          <w:rFonts w:ascii="Times New Roman" w:hAnsi="Times New Roman"/>
          <w:sz w:val="28"/>
          <w:szCs w:val="28"/>
        </w:rPr>
        <w:t xml:space="preserve"> грн. – </w:t>
      </w:r>
      <w:r w:rsidR="00D854D1">
        <w:rPr>
          <w:rFonts w:ascii="Times New Roman" w:hAnsi="Times New Roman"/>
          <w:sz w:val="28"/>
          <w:szCs w:val="28"/>
          <w:lang w:val="uk-UA"/>
        </w:rPr>
        <w:t>50</w:t>
      </w:r>
      <w:r w:rsidRPr="00FA335E">
        <w:rPr>
          <w:rFonts w:ascii="Times New Roman" w:hAnsi="Times New Roman"/>
          <w:sz w:val="28"/>
          <w:szCs w:val="28"/>
        </w:rPr>
        <w:t xml:space="preserve"> ос</w:t>
      </w:r>
      <w:proofErr w:type="spellStart"/>
      <w:r w:rsidR="00D854D1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FA335E">
        <w:rPr>
          <w:rFonts w:ascii="Times New Roman" w:hAnsi="Times New Roman"/>
          <w:sz w:val="28"/>
          <w:szCs w:val="28"/>
        </w:rPr>
        <w:t>;</w:t>
      </w:r>
    </w:p>
    <w:p w14:paraId="0327185B" w14:textId="48EBCD21" w:rsidR="00FA335E" w:rsidRPr="00FA335E" w:rsidRDefault="00FA335E" w:rsidP="00FA335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FA335E">
        <w:rPr>
          <w:rFonts w:ascii="Times New Roman" w:hAnsi="Times New Roman"/>
          <w:sz w:val="28"/>
          <w:szCs w:val="28"/>
        </w:rPr>
        <w:t>Зубопротезування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інших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згідно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FA335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– 800 000,0 грн.,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у поточному 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році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D854D1">
        <w:rPr>
          <w:rFonts w:ascii="Times New Roman" w:hAnsi="Times New Roman"/>
          <w:sz w:val="28"/>
          <w:szCs w:val="28"/>
          <w:lang w:val="uk-UA"/>
        </w:rPr>
        <w:t>315</w:t>
      </w:r>
      <w:proofErr w:type="gramEnd"/>
      <w:r w:rsidR="00D854D1">
        <w:rPr>
          <w:rFonts w:ascii="Times New Roman" w:hAnsi="Times New Roman"/>
          <w:sz w:val="28"/>
          <w:szCs w:val="28"/>
          <w:lang w:val="uk-UA"/>
        </w:rPr>
        <w:t> 584,55</w:t>
      </w:r>
      <w:r w:rsidRPr="00FA335E">
        <w:rPr>
          <w:rFonts w:ascii="Times New Roman" w:hAnsi="Times New Roman"/>
          <w:sz w:val="28"/>
          <w:szCs w:val="28"/>
        </w:rPr>
        <w:t xml:space="preserve"> грн. – </w:t>
      </w:r>
      <w:r w:rsidR="00D854D1">
        <w:rPr>
          <w:rFonts w:ascii="Times New Roman" w:hAnsi="Times New Roman"/>
          <w:sz w:val="28"/>
          <w:szCs w:val="28"/>
          <w:lang w:val="uk-UA"/>
        </w:rPr>
        <w:t>85</w:t>
      </w:r>
      <w:r w:rsidRPr="00FA335E">
        <w:rPr>
          <w:rFonts w:ascii="Times New Roman" w:hAnsi="Times New Roman"/>
          <w:sz w:val="28"/>
          <w:szCs w:val="28"/>
        </w:rPr>
        <w:t xml:space="preserve"> ос</w:t>
      </w:r>
      <w:r w:rsidR="00B74419">
        <w:rPr>
          <w:rFonts w:ascii="Times New Roman" w:hAnsi="Times New Roman"/>
          <w:sz w:val="28"/>
          <w:szCs w:val="28"/>
          <w:lang w:val="uk-UA"/>
        </w:rPr>
        <w:t>і</w:t>
      </w:r>
      <w:r w:rsidRPr="00FA335E">
        <w:rPr>
          <w:rFonts w:ascii="Times New Roman" w:hAnsi="Times New Roman"/>
          <w:sz w:val="28"/>
          <w:szCs w:val="28"/>
        </w:rPr>
        <w:t>б.</w:t>
      </w:r>
    </w:p>
    <w:p w14:paraId="0DDE016D" w14:textId="6BB173E6" w:rsidR="00FA335E" w:rsidRP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        12.  </w:t>
      </w:r>
      <w:proofErr w:type="spellStart"/>
      <w:r w:rsidRPr="00FA335E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тривалості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якості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життя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A335E">
        <w:rPr>
          <w:rFonts w:ascii="Times New Roman" w:hAnsi="Times New Roman"/>
          <w:sz w:val="28"/>
          <w:szCs w:val="28"/>
        </w:rPr>
        <w:t>вроджених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набутих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серцево-судинних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захворюваннях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35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безкоштовної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високоспеціалізованої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FA335E">
        <w:rPr>
          <w:rFonts w:ascii="Times New Roman" w:hAnsi="Times New Roman"/>
          <w:sz w:val="28"/>
          <w:szCs w:val="28"/>
        </w:rPr>
        <w:t>третинної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)   </w:t>
      </w:r>
      <w:proofErr w:type="spellStart"/>
      <w:proofErr w:type="gramEnd"/>
      <w:r w:rsidRPr="00FA335E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 </w:t>
      </w:r>
      <w:r w:rsidR="00D854D1">
        <w:rPr>
          <w:rFonts w:ascii="Times New Roman" w:hAnsi="Times New Roman"/>
          <w:sz w:val="28"/>
          <w:szCs w:val="28"/>
          <w:lang w:val="uk-UA"/>
        </w:rPr>
        <w:t>51</w:t>
      </w:r>
      <w:r w:rsidRPr="00FA335E">
        <w:rPr>
          <w:rFonts w:ascii="Times New Roman" w:hAnsi="Times New Roman"/>
          <w:sz w:val="28"/>
          <w:szCs w:val="28"/>
        </w:rPr>
        <w:t xml:space="preserve">0 000,0 грн. з </w:t>
      </w:r>
      <w:proofErr w:type="spellStart"/>
      <w:r w:rsidRPr="00FA335E">
        <w:rPr>
          <w:rFonts w:ascii="Times New Roman" w:hAnsi="Times New Roman"/>
          <w:sz w:val="28"/>
          <w:szCs w:val="28"/>
        </w:rPr>
        <w:t>яких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r w:rsidR="00D854D1">
        <w:rPr>
          <w:rFonts w:ascii="Times New Roman" w:hAnsi="Times New Roman"/>
          <w:sz w:val="28"/>
          <w:szCs w:val="28"/>
          <w:lang w:val="uk-UA"/>
        </w:rPr>
        <w:t xml:space="preserve"> 468 561,09</w:t>
      </w:r>
      <w:r w:rsidRPr="00FA335E">
        <w:rPr>
          <w:rFonts w:ascii="Times New Roman" w:hAnsi="Times New Roman"/>
          <w:sz w:val="28"/>
          <w:szCs w:val="28"/>
        </w:rPr>
        <w:t xml:space="preserve"> грн.- </w:t>
      </w:r>
      <w:r w:rsidR="00D854D1">
        <w:rPr>
          <w:rFonts w:ascii="Times New Roman" w:hAnsi="Times New Roman"/>
          <w:sz w:val="28"/>
          <w:szCs w:val="28"/>
          <w:lang w:val="uk-UA"/>
        </w:rPr>
        <w:t>4</w:t>
      </w:r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пацієнти</w:t>
      </w:r>
      <w:proofErr w:type="spellEnd"/>
      <w:r w:rsidRPr="00FA335E">
        <w:rPr>
          <w:rFonts w:ascii="Times New Roman" w:hAnsi="Times New Roman"/>
          <w:sz w:val="28"/>
          <w:szCs w:val="28"/>
        </w:rPr>
        <w:t>.</w:t>
      </w:r>
    </w:p>
    <w:p w14:paraId="18E96614" w14:textId="77777777" w:rsidR="00FA335E" w:rsidRP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CFDCF94" w14:textId="77777777" w:rsidR="00FA335E" w:rsidRP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0113117" w14:textId="77777777" w:rsidR="00FA335E" w:rsidRPr="00FA335E" w:rsidRDefault="00FA335E" w:rsidP="00FA335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50E67" w14:textId="77777777" w:rsidR="00FA335E" w:rsidRPr="00FA335E" w:rsidRDefault="00FA335E" w:rsidP="00FA335E">
      <w:pPr>
        <w:spacing w:line="240" w:lineRule="auto"/>
        <w:rPr>
          <w:rFonts w:ascii="Times New Roman" w:hAnsi="Times New Roman"/>
          <w:sz w:val="28"/>
          <w:szCs w:val="28"/>
        </w:rPr>
      </w:pPr>
      <w:r w:rsidRPr="00FA335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A335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35E">
        <w:rPr>
          <w:rFonts w:ascii="Times New Roman" w:hAnsi="Times New Roman"/>
          <w:sz w:val="28"/>
          <w:szCs w:val="28"/>
        </w:rPr>
        <w:t>бухгалтерського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</w:t>
      </w:r>
    </w:p>
    <w:p w14:paraId="67567775" w14:textId="77777777" w:rsidR="00FA335E" w:rsidRPr="00FA335E" w:rsidRDefault="00FA335E" w:rsidP="00FA335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335E">
        <w:rPr>
          <w:rFonts w:ascii="Times New Roman" w:hAnsi="Times New Roman"/>
          <w:sz w:val="28"/>
          <w:szCs w:val="28"/>
        </w:rPr>
        <w:t>обліку</w:t>
      </w:r>
      <w:proofErr w:type="spellEnd"/>
      <w:r w:rsidRPr="00FA33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335E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</w:r>
      <w:r w:rsidRPr="00FA335E">
        <w:rPr>
          <w:rFonts w:ascii="Times New Roman" w:hAnsi="Times New Roman"/>
          <w:sz w:val="28"/>
          <w:szCs w:val="28"/>
        </w:rPr>
        <w:tab/>
        <w:t xml:space="preserve">Л.І. </w:t>
      </w:r>
      <w:proofErr w:type="spellStart"/>
      <w:r w:rsidRPr="00FA335E">
        <w:rPr>
          <w:rFonts w:ascii="Times New Roman" w:hAnsi="Times New Roman"/>
          <w:sz w:val="28"/>
          <w:szCs w:val="28"/>
        </w:rPr>
        <w:t>Генералюк</w:t>
      </w:r>
      <w:proofErr w:type="spellEnd"/>
    </w:p>
    <w:p w14:paraId="2AC8D559" w14:textId="77777777" w:rsidR="00FA335E" w:rsidRPr="00FA335E" w:rsidRDefault="00FA335E" w:rsidP="00FA335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A335E" w:rsidRPr="00FA3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72"/>
    <w:multiLevelType w:val="hybridMultilevel"/>
    <w:tmpl w:val="0D10A276"/>
    <w:lvl w:ilvl="0" w:tplc="41B2A19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CA"/>
    <w:rsid w:val="00411515"/>
    <w:rsid w:val="00447823"/>
    <w:rsid w:val="00853D02"/>
    <w:rsid w:val="00903345"/>
    <w:rsid w:val="00932CCA"/>
    <w:rsid w:val="00965E4E"/>
    <w:rsid w:val="00B74419"/>
    <w:rsid w:val="00BD6807"/>
    <w:rsid w:val="00BD6FE9"/>
    <w:rsid w:val="00D854D1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6BA1C"/>
  <w15:chartTrackingRefBased/>
  <w15:docId w15:val="{45C7DE9F-1ACA-4A1A-9660-9A29667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A335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4">
    <w:name w:val="Hyperlink"/>
    <w:rsid w:val="00FA33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k@mukachevo-rada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6236</Words>
  <Characters>3555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Generaluk-49</dc:creator>
  <cp:keywords/>
  <dc:description/>
  <cp:lastModifiedBy>Generaluk-49</cp:lastModifiedBy>
  <cp:revision>5</cp:revision>
  <dcterms:created xsi:type="dcterms:W3CDTF">2022-01-13T14:44:00Z</dcterms:created>
  <dcterms:modified xsi:type="dcterms:W3CDTF">2022-01-14T09:33:00Z</dcterms:modified>
</cp:coreProperties>
</file>