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AEC4" w14:textId="77777777" w:rsidR="00D7531F" w:rsidRPr="00540A01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665E2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E0604E0" wp14:editId="57F5DE9D">
            <wp:extent cx="46672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2154" wp14:editId="188D4366">
                <wp:simplePos x="0" y="0"/>
                <wp:positionH relativeFrom="column">
                  <wp:posOffset>4853940</wp:posOffset>
                </wp:positionH>
                <wp:positionV relativeFrom="paragraph">
                  <wp:posOffset>-552450</wp:posOffset>
                </wp:positionV>
                <wp:extent cx="1362075" cy="885190"/>
                <wp:effectExtent l="0" t="0" r="0" b="444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5626" w14:textId="77777777" w:rsidR="00D7531F" w:rsidRPr="00B72ABF" w:rsidRDefault="00D7531F" w:rsidP="00D7531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2AB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2154" id="Прямоугольник 102" o:spid="_x0000_s1026" style="position:absolute;left:0;text-align:left;margin-left:382.2pt;margin-top:-43.5pt;width:107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" stroked="f">
                <v:textbox>
                  <w:txbxContent>
                    <w:p w14:paraId="7E5F5626" w14:textId="77777777" w:rsidR="00D7531F" w:rsidRPr="00B72ABF" w:rsidRDefault="00D7531F" w:rsidP="00D7531F">
                      <w:pPr>
                        <w:spacing w:after="12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72AB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047E2D" w14:textId="77777777" w:rsidR="00D7531F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3369708C" w14:textId="77777777" w:rsidR="00D7531F" w:rsidRDefault="003F3E0A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КОНТРОЛЮ ТА ОРГАНІЗАЦІЙНОГО ЗАБЕЗПЕЧЕННЯ</w:t>
      </w:r>
    </w:p>
    <w:p w14:paraId="6F0F696C" w14:textId="77777777" w:rsidR="003F3E0A" w:rsidRPr="003F3E0A" w:rsidRDefault="003F3E0A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ДІЯЛЬНОСТІ ВИКОНАВЧОГО КОМІТЕТУ ТА МІІСЬКОЇ РАДИ</w:t>
      </w:r>
    </w:p>
    <w:p w14:paraId="3D4C47C6" w14:textId="77777777" w:rsidR="00D7531F" w:rsidRPr="00860CA1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пл.Духновича</w:t>
      </w:r>
      <w:proofErr w:type="spellEnd"/>
      <w:r>
        <w:rPr>
          <w:rFonts w:ascii="Times New Roman" w:hAnsi="Times New Roman"/>
          <w:sz w:val="20"/>
        </w:rPr>
        <w:t>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 w:rsidR="00B24A6B">
        <w:rPr>
          <w:rFonts w:ascii="Times New Roman" w:hAnsi="Times New Roman"/>
          <w:sz w:val="20"/>
        </w:rPr>
        <w:t>96</w:t>
      </w:r>
      <w:r>
        <w:rPr>
          <w:rFonts w:ascii="Times New Roman" w:hAnsi="Times New Roman"/>
          <w:sz w:val="20"/>
        </w:rPr>
        <w:t>00</w:t>
      </w:r>
      <w:r w:rsidRPr="00860CA1">
        <w:rPr>
          <w:rFonts w:ascii="Times New Roman" w:hAnsi="Times New Roman"/>
          <w:sz w:val="20"/>
        </w:rPr>
        <w:t xml:space="preserve">, </w:t>
      </w:r>
      <w:proofErr w:type="spellStart"/>
      <w:r w:rsidRPr="00860CA1">
        <w:rPr>
          <w:rFonts w:ascii="Times New Roman" w:hAnsi="Times New Roman"/>
          <w:sz w:val="20"/>
        </w:rPr>
        <w:t>тел</w:t>
      </w:r>
      <w:proofErr w:type="spellEnd"/>
      <w:r w:rsidRPr="00860CA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(03131) 3 85 79</w:t>
      </w:r>
    </w:p>
    <w:p w14:paraId="326A545E" w14:textId="77777777" w:rsidR="00D7531F" w:rsidRPr="007C5323" w:rsidRDefault="00D7531F" w:rsidP="00D7531F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5" w:history="1">
        <w:r w:rsidRPr="00912EF3">
          <w:rPr>
            <w:rStyle w:val="a4"/>
            <w:lang w:val="en-US"/>
          </w:rPr>
          <w:t xml:space="preserve"> 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viddil.ekonomiky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912EF3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912EF3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38625180</w:t>
      </w:r>
    </w:p>
    <w:p w14:paraId="34336108" w14:textId="77777777" w:rsidR="00D7531F" w:rsidRPr="007C5323" w:rsidRDefault="00D7531F" w:rsidP="00D7531F">
      <w:pPr>
        <w:pStyle w:val="1"/>
        <w:spacing w:line="240" w:lineRule="auto"/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1E434D" w14:textId="77777777" w:rsidR="00D7531F" w:rsidRPr="00EE572E" w:rsidRDefault="00D7531F" w:rsidP="00D7531F">
      <w:pPr>
        <w:spacing w:after="6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14:paraId="4E08C12E" w14:textId="77777777" w:rsidR="00D7531F" w:rsidRPr="00B72ABF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2ABF">
        <w:rPr>
          <w:rFonts w:ascii="Times New Roman" w:hAnsi="Times New Roman"/>
          <w:sz w:val="28"/>
          <w:szCs w:val="28"/>
          <w:lang w:val="uk-UA"/>
        </w:rPr>
        <w:t>__________№ ________________</w:t>
      </w:r>
      <w:r w:rsidRPr="00B72ABF">
        <w:rPr>
          <w:rFonts w:ascii="Times New Roman" w:hAnsi="Times New Roman"/>
          <w:sz w:val="28"/>
          <w:szCs w:val="28"/>
        </w:rPr>
        <w:t>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На №</w:t>
      </w:r>
      <w:r w:rsidRPr="00B72A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</w:p>
    <w:p w14:paraId="40E7E43E" w14:textId="77777777" w:rsidR="00D7531F" w:rsidRDefault="00D7531F" w:rsidP="00D7531F">
      <w:pPr>
        <w:jc w:val="center"/>
        <w:rPr>
          <w:rFonts w:ascii="Times New Roman" w:hAnsi="Times New Roman"/>
          <w:sz w:val="28"/>
          <w:lang w:val="uk-UA"/>
        </w:rPr>
      </w:pPr>
    </w:p>
    <w:p w14:paraId="1B2BF2E5" w14:textId="444E7899" w:rsidR="00D7531F" w:rsidRDefault="006D3EF1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Міському голові</w:t>
      </w:r>
    </w:p>
    <w:p w14:paraId="11755024" w14:textId="796C8D12" w:rsidR="006D3EF1" w:rsidRDefault="006D3EF1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Андрію БАЛОГА</w:t>
      </w:r>
    </w:p>
    <w:p w14:paraId="546CD783" w14:textId="6E948CB0" w:rsidR="00527932" w:rsidRDefault="00527932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</w:p>
    <w:p w14:paraId="53E61C72" w14:textId="77777777" w:rsidR="00527932" w:rsidRDefault="00527932" w:rsidP="006D3EF1">
      <w:pPr>
        <w:spacing w:after="0"/>
        <w:ind w:firstLine="7229"/>
        <w:rPr>
          <w:rFonts w:ascii="Times New Roman" w:hAnsi="Times New Roman"/>
          <w:sz w:val="28"/>
          <w:lang w:val="uk-UA"/>
        </w:rPr>
      </w:pPr>
    </w:p>
    <w:p w14:paraId="5C4FE99A" w14:textId="77777777" w:rsidR="00102AC8" w:rsidRPr="00102AC8" w:rsidRDefault="00102AC8" w:rsidP="00102AC8">
      <w:pPr>
        <w:spacing w:line="200" w:lineRule="atLeast"/>
        <w:jc w:val="center"/>
        <w:rPr>
          <w:lang w:val="uk-UA"/>
        </w:rPr>
      </w:pPr>
      <w:r w:rsidRPr="00102AC8">
        <w:rPr>
          <w:rFonts w:ascii="Times New Roman" w:hAnsi="Times New Roman"/>
          <w:color w:val="000000"/>
          <w:sz w:val="28"/>
          <w:szCs w:val="28"/>
          <w:lang w:val="uk-UA"/>
        </w:rPr>
        <w:t>Звіт про роботу відділу контролю та організаційного забезпечення діяльності виконавчого комітету та міської ради від 01.01.2022 по 01.04. 2022 року</w:t>
      </w:r>
    </w:p>
    <w:p w14:paraId="1D8D962B" w14:textId="77777777" w:rsidR="00102AC8" w:rsidRPr="00102AC8" w:rsidRDefault="00102AC8" w:rsidP="00102AC8">
      <w:pPr>
        <w:spacing w:line="200" w:lineRule="atLeast"/>
        <w:jc w:val="both"/>
        <w:rPr>
          <w:lang w:val="uk-UA"/>
        </w:rPr>
      </w:pPr>
      <w:r w:rsidRPr="00102AC8">
        <w:rPr>
          <w:rFonts w:ascii="Times New Roman" w:hAnsi="Times New Roman"/>
          <w:color w:val="FF0000"/>
          <w:spacing w:val="-3"/>
          <w:sz w:val="28"/>
          <w:szCs w:val="28"/>
          <w:lang w:val="uk-UA"/>
        </w:rPr>
        <w:tab/>
      </w:r>
    </w:p>
    <w:p w14:paraId="5BC6ABDD" w14:textId="77777777" w:rsidR="00102AC8" w:rsidRPr="00102AC8" w:rsidRDefault="00102AC8" w:rsidP="00102AC8">
      <w:pPr>
        <w:spacing w:line="200" w:lineRule="atLeast"/>
        <w:jc w:val="both"/>
        <w:rPr>
          <w:lang w:val="uk-UA"/>
        </w:rPr>
      </w:pPr>
      <w:r w:rsidRPr="00102AC8">
        <w:rPr>
          <w:rFonts w:ascii="Times New Roman" w:hAnsi="Times New Roman"/>
          <w:color w:val="FF0000"/>
          <w:spacing w:val="-3"/>
          <w:sz w:val="28"/>
          <w:szCs w:val="28"/>
          <w:lang w:val="uk-UA" w:eastAsia="ar-SA"/>
        </w:rPr>
        <w:tab/>
      </w:r>
      <w:r w:rsidRPr="00102AC8">
        <w:rPr>
          <w:rFonts w:ascii="Times New Roman" w:hAnsi="Times New Roman"/>
          <w:color w:val="000000"/>
          <w:spacing w:val="-3"/>
          <w:sz w:val="28"/>
          <w:szCs w:val="28"/>
          <w:lang w:val="uk-UA" w:eastAsia="ar-SA"/>
        </w:rPr>
        <w:t>За звітний період працівниками відділу здійснювалося організаційне, контролююче та документальне забезпечення діяльності виконавчого комітету, міської ради та його виконавчих органів.</w:t>
      </w:r>
    </w:p>
    <w:p w14:paraId="6FBC241F" w14:textId="77777777" w:rsidR="00102AC8" w:rsidRDefault="00102AC8" w:rsidP="00102AC8">
      <w:pPr>
        <w:spacing w:line="200" w:lineRule="atLeast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ради:</w:t>
      </w:r>
    </w:p>
    <w:p w14:paraId="1FC2B1E6" w14:textId="77777777" w:rsidR="00102AC8" w:rsidRDefault="00102AC8" w:rsidP="00102AC8">
      <w:pPr>
        <w:spacing w:line="200" w:lineRule="atLeast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3575 (2878)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З них 447 (540)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1406 (643)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27(23) запита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доступ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публічної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0B2F891E" w14:textId="77777777" w:rsidR="00102AC8" w:rsidRPr="00D82E68" w:rsidRDefault="00102AC8" w:rsidP="00102AC8">
      <w:pPr>
        <w:spacing w:after="0" w:line="2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відділі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151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періодичного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>:</w:t>
      </w:r>
    </w:p>
    <w:p w14:paraId="39ABFF18" w14:textId="77777777" w:rsidR="00102AC8" w:rsidRPr="00D82E68" w:rsidRDefault="00102AC8" w:rsidP="00102AC8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щомісячного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47 (</w:t>
      </w:r>
      <w:r w:rsidRPr="00D82E6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3)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1666023B" w14:textId="77777777" w:rsidR="00102AC8" w:rsidRPr="00D82E68" w:rsidRDefault="00102AC8" w:rsidP="00102AC8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щоквартального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58 (</w:t>
      </w:r>
      <w:r w:rsidRPr="00D82E6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2)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627041FC" w14:textId="77777777" w:rsidR="00102AC8" w:rsidRPr="00D82E68" w:rsidRDefault="00102AC8" w:rsidP="00102AC8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щорічного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38 (</w:t>
      </w:r>
      <w:r w:rsidRPr="00D82E6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7)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док.;</w:t>
      </w:r>
    </w:p>
    <w:p w14:paraId="07A0555D" w14:textId="77777777" w:rsidR="00102AC8" w:rsidRDefault="00102AC8" w:rsidP="00102AC8">
      <w:pPr>
        <w:spacing w:after="0" w:line="200" w:lineRule="atLeast"/>
        <w:jc w:val="both"/>
      </w:pPr>
      <w:r w:rsidRPr="00D82E68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щотижневого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2E68">
        <w:rPr>
          <w:rFonts w:ascii="Times New Roman" w:hAnsi="Times New Roman"/>
          <w:color w:val="000000"/>
          <w:sz w:val="28"/>
          <w:szCs w:val="28"/>
        </w:rPr>
        <w:t>інформування</w:t>
      </w:r>
      <w:proofErr w:type="spellEnd"/>
      <w:r w:rsidRPr="00D82E68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8 (5)</w:t>
      </w:r>
      <w:r w:rsidRPr="00D82E68">
        <w:rPr>
          <w:rFonts w:ascii="Times New Roman" w:hAnsi="Times New Roman"/>
          <w:color w:val="000000"/>
          <w:sz w:val="28"/>
          <w:szCs w:val="28"/>
        </w:rPr>
        <w:t xml:space="preserve"> док.</w:t>
      </w:r>
    </w:p>
    <w:p w14:paraId="2CF78B15" w14:textId="77777777" w:rsidR="00102AC8" w:rsidRDefault="00102AC8" w:rsidP="00102AC8">
      <w:pPr>
        <w:spacing w:line="200" w:lineRule="atLeast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1.2.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відправлено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1317 (436) листа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вихідної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кореспонденції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F9F643F" w14:textId="77777777" w:rsidR="00102AC8" w:rsidRDefault="00102AC8" w:rsidP="00102AC8">
      <w:pPr>
        <w:spacing w:line="2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проведено 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комітету:6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планових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позачергових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0D58088" w14:textId="77777777" w:rsidR="00102AC8" w:rsidRDefault="00102AC8" w:rsidP="00102AC8">
      <w:pPr>
        <w:spacing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105 (118)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ради; </w:t>
      </w:r>
    </w:p>
    <w:p w14:paraId="69B0AB5C" w14:textId="77777777" w:rsidR="00102AC8" w:rsidRDefault="00102AC8" w:rsidP="00102AC8">
      <w:pPr>
        <w:spacing w:line="200" w:lineRule="atLeast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77 (140)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та 123 (111)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66 (114)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складу, 65 (77)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відпустки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32 (43)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AACCFA" w14:textId="77777777" w:rsidR="00102AC8" w:rsidRDefault="00102AC8" w:rsidP="00102AC8">
      <w:pPr>
        <w:spacing w:line="200" w:lineRule="atLeast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тижні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готується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план-контроль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вищестоящих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проводиться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випереджувальний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контроль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посадових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документами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Щотижня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подається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тематику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листів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та про стан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значно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покращився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866384" w14:textId="77777777" w:rsidR="00102AC8" w:rsidRDefault="00102AC8" w:rsidP="00102AC8">
      <w:pPr>
        <w:spacing w:line="200" w:lineRule="atLeast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протязі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проконтрольовано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поставлених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26-ти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13-ти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гуманітарної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ради. </w:t>
      </w:r>
    </w:p>
    <w:p w14:paraId="06A4B0D9" w14:textId="77777777" w:rsidR="00102AC8" w:rsidRDefault="00102AC8" w:rsidP="00102AC8">
      <w:pPr>
        <w:snapToGrid w:val="0"/>
        <w:spacing w:line="200" w:lineRule="atLeast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Щомісяця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25 числа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готуються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212BE7" w14:textId="77777777" w:rsidR="00102AC8" w:rsidRDefault="00102AC8" w:rsidP="00102AC8">
      <w:pPr>
        <w:pStyle w:val="a5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5. Щотижня формуються плани проведення нарад та організаційно-масових заходів виконавчого комітету Мукачівської міської ради через систему Док Проф.</w:t>
      </w:r>
    </w:p>
    <w:p w14:paraId="4E9E2A2A" w14:textId="77777777" w:rsidR="00102AC8" w:rsidRDefault="00102AC8" w:rsidP="00102AC8">
      <w:pPr>
        <w:spacing w:line="240" w:lineRule="auto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 xml:space="preserve">. Відповідно до розпоряджень міського голови про нагородження підготовлено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>вручено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>:</w:t>
      </w:r>
    </w:p>
    <w:p w14:paraId="24C460CE" w14:textId="77777777" w:rsidR="00102AC8" w:rsidRDefault="00102AC8" w:rsidP="00102AC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  <w:t>- Почесних грамот — 13;</w:t>
      </w:r>
    </w:p>
    <w:p w14:paraId="1CC2869F" w14:textId="77777777" w:rsidR="00102AC8" w:rsidRDefault="00102AC8" w:rsidP="00102AC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  <w:t>- Грамот — 17;</w:t>
      </w:r>
    </w:p>
    <w:p w14:paraId="6DB335AF" w14:textId="77777777" w:rsidR="00102AC8" w:rsidRDefault="00102AC8" w:rsidP="00102AC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  <w:t>- Подяк — 11.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>. Опрацьовано та відправлено вітальних листівок міського голови:</w:t>
      </w:r>
    </w:p>
    <w:p w14:paraId="0F1F760F" w14:textId="77777777" w:rsidR="00102AC8" w:rsidRDefault="00102AC8" w:rsidP="00102AC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  <w:t>- з нагоди дня народження, ювілейних дат —  300;</w:t>
      </w:r>
    </w:p>
    <w:p w14:paraId="4500DE1D" w14:textId="77777777" w:rsidR="00102AC8" w:rsidRDefault="00102AC8" w:rsidP="00102AC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bidi="en-US"/>
        </w:rPr>
        <w:t>. Організаційно забезпечено ряд загальноміських заходів:</w:t>
      </w:r>
    </w:p>
    <w:p w14:paraId="4D55CF02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 заходи із вшанування пам’яті жертв Голокосту (Старе єврейське кладовище (вул. Академіка Павлова); </w:t>
      </w:r>
    </w:p>
    <w:p w14:paraId="6FF35CB6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 покладання квітів з нагоди відзначення Дня 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орності України та річниці утворення Закарпатської області (Меморіальні дошки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М.Грушевському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А.Волошину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66389BEA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нагородження з нагоди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відзначення Дня Соб</w:t>
      </w:r>
      <w:r>
        <w:rPr>
          <w:rFonts w:ascii="Times New Roman" w:hAnsi="Times New Roman" w:cs="Times New Roman"/>
          <w:color w:val="000000"/>
          <w:sz w:val="28"/>
          <w:szCs w:val="28"/>
        </w:rPr>
        <w:t>орності України;</w:t>
      </w:r>
    </w:p>
    <w:p w14:paraId="24C24C22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мітинг з нагоди виведення 128-ї окремої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гірсько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-штурмової бригади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Дебальцева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CEF6BF3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покладання квітів до пам’ятника загиблим воїнам-афганця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м до Дня вшанування учасників бойових дій на території інших держав та річниці виведення військ з Республіки Афганістан; </w:t>
      </w:r>
    </w:p>
    <w:p w14:paraId="180D1A94" w14:textId="77777777" w:rsidR="00102AC8" w:rsidRDefault="00102AC8" w:rsidP="00102AC8">
      <w:pPr>
        <w:pStyle w:val="a5"/>
        <w:widowControl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покладання квітів до пам’ятного знаку з метою вшанування пам’яті загиблих з наг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оди Дня Героїв Небесної Сотні (Площа Героїв Майдану);</w:t>
      </w:r>
    </w:p>
    <w:p w14:paraId="49C15650" w14:textId="77777777" w:rsidR="00102AC8" w:rsidRPr="00102AC8" w:rsidRDefault="00102AC8" w:rsidP="00102AC8">
      <w:pPr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ab/>
      </w:r>
      <w:r w:rsidRPr="00102AC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З метою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рганізації</w:t>
      </w:r>
      <w:r w:rsidRPr="00102AC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забезпечення проведення державних, професійних свят, інших знаменних і пам’ятних дат,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102AC8">
        <w:rPr>
          <w:rFonts w:ascii="Times New Roman" w:hAnsi="Times New Roman"/>
          <w:color w:val="000000"/>
          <w:sz w:val="28"/>
          <w:szCs w:val="28"/>
          <w:lang w:val="uk-UA"/>
        </w:rPr>
        <w:t xml:space="preserve">ідзначення осіб, колективів, які зробили вагомий внесок у соціально-економічний та культурний розвиток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102AC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 xml:space="preserve">Програми забезпечення організаційної діяльності міської ради та виконавчого комітету на 2022-2024 роки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використано коштів на придбання:</w:t>
      </w:r>
    </w:p>
    <w:p w14:paraId="19191DE5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 w:rsidRPr="00102AC8">
        <w:rPr>
          <w:rFonts w:ascii="Times New Roman" w:eastAsia="Times New Roman" w:hAnsi="Times New Roman"/>
          <w:color w:val="000000"/>
          <w:sz w:val="20"/>
          <w:szCs w:val="28"/>
          <w:lang w:val="uk-UA"/>
        </w:rPr>
        <w:tab/>
      </w: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 xml:space="preserve">сувенірів — 12 690;  </w:t>
      </w:r>
    </w:p>
    <w:p w14:paraId="739CA411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>квіткової продукції —  6 120;</w:t>
      </w:r>
    </w:p>
    <w:p w14:paraId="5B4F2420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>лампадок — 2 110;</w:t>
      </w:r>
    </w:p>
    <w:p w14:paraId="0629B486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 xml:space="preserve">вітальних листівок — 19 000; </w:t>
      </w:r>
    </w:p>
    <w:p w14:paraId="08FF2471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>папок для Почесних грамот  — 53 400;</w:t>
      </w:r>
    </w:p>
    <w:p w14:paraId="3F25B986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>почесних грамот  — 5 800;</w:t>
      </w:r>
    </w:p>
    <w:p w14:paraId="254B258B" w14:textId="77777777" w:rsidR="00102AC8" w:rsidRDefault="00102AC8" w:rsidP="00102A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/>
          <w:color w:val="000000"/>
          <w:kern w:val="1"/>
          <w:sz w:val="28"/>
          <w:szCs w:val="28"/>
          <w:lang w:val="uk-UA" w:eastAsia="zh-CN" w:bidi="hi-IN"/>
        </w:rPr>
        <w:tab/>
        <w:t>подяк  — 2 400.</w:t>
      </w:r>
    </w:p>
    <w:p w14:paraId="4EEC137F" w14:textId="77777777" w:rsidR="00102AC8" w:rsidRDefault="00102AC8" w:rsidP="00102AC8">
      <w:pPr>
        <w:tabs>
          <w:tab w:val="left" w:pos="0"/>
        </w:tabs>
        <w:snapToGrid w:val="0"/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B4CC59" w14:textId="77777777" w:rsidR="00102AC8" w:rsidRDefault="00102AC8" w:rsidP="00102AC8">
      <w:pPr>
        <w:tabs>
          <w:tab w:val="left" w:pos="0"/>
        </w:tabs>
        <w:snapToGrid w:val="0"/>
        <w:spacing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0D6E8CF" w14:textId="77777777" w:rsidR="00527932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відділу контролю </w:t>
      </w:r>
    </w:p>
    <w:p w14:paraId="13B7BE7D" w14:textId="77777777" w:rsidR="00527932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організаційного забезпечення діяльності</w:t>
      </w:r>
    </w:p>
    <w:p w14:paraId="72ADD54C" w14:textId="735A8060" w:rsidR="006D3EF1" w:rsidRDefault="006D3EF1" w:rsidP="00527932">
      <w:pPr>
        <w:spacing w:after="0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виконавчого комітету та міської раду</w:t>
      </w:r>
      <w:r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</w:r>
      <w:r w:rsidR="00527932">
        <w:rPr>
          <w:rFonts w:ascii="Times New Roman" w:hAnsi="Times New Roman"/>
          <w:sz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lang w:val="uk-UA"/>
        </w:rPr>
        <w:t>Ганна ЛЕНДЬЄЛ</w:t>
      </w:r>
    </w:p>
    <w:p w14:paraId="001202E7" w14:textId="77777777" w:rsidR="005F1E26" w:rsidRPr="006D3EF1" w:rsidRDefault="005F1E26">
      <w:pPr>
        <w:rPr>
          <w:lang w:val="uk-UA"/>
        </w:rPr>
      </w:pPr>
    </w:p>
    <w:sectPr w:rsidR="005F1E26" w:rsidRPr="006D3EF1" w:rsidSect="00D7531F">
      <w:pgSz w:w="11906" w:h="16838"/>
      <w:pgMar w:top="23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102AC8"/>
    <w:rsid w:val="001640E3"/>
    <w:rsid w:val="003F3E0A"/>
    <w:rsid w:val="00527932"/>
    <w:rsid w:val="005F1E26"/>
    <w:rsid w:val="006D3EF1"/>
    <w:rsid w:val="00B24A6B"/>
    <w:rsid w:val="00D26045"/>
    <w:rsid w:val="00D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488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Body Text"/>
    <w:basedOn w:val="a"/>
    <w:link w:val="a6"/>
    <w:rsid w:val="00102A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6">
    <w:name w:val="Основний текст Знак"/>
    <w:basedOn w:val="a0"/>
    <w:link w:val="a5"/>
    <w:rsid w:val="00102A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ddil.ekonomiky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9</cp:revision>
  <cp:lastPrinted>2022-04-15T06:48:00Z</cp:lastPrinted>
  <dcterms:created xsi:type="dcterms:W3CDTF">2021-10-19T08:29:00Z</dcterms:created>
  <dcterms:modified xsi:type="dcterms:W3CDTF">2022-04-15T06:48:00Z</dcterms:modified>
</cp:coreProperties>
</file>