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6A1E" w14:textId="77777777" w:rsidR="003467C8"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r w:rsidRPr="008C120E">
        <w:rPr>
          <w:rFonts w:ascii="Times New Roman" w:eastAsia="Times New Roman" w:hAnsi="Times New Roman"/>
          <w:b/>
          <w:bCs/>
          <w:sz w:val="28"/>
          <w:szCs w:val="28"/>
          <w:lang w:eastAsia="ru-RU"/>
        </w:rPr>
        <w:t xml:space="preserve">ЗВІТ </w:t>
      </w:r>
    </w:p>
    <w:p w14:paraId="7AC4EF1D" w14:textId="77777777" w:rsidR="003467C8" w:rsidRPr="008C120E"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r w:rsidRPr="008C120E">
        <w:rPr>
          <w:rFonts w:ascii="Times New Roman" w:eastAsia="Times New Roman" w:hAnsi="Times New Roman"/>
          <w:b/>
          <w:bCs/>
          <w:sz w:val="28"/>
          <w:szCs w:val="28"/>
          <w:lang w:eastAsia="ru-RU"/>
        </w:rPr>
        <w:t>про роботу</w:t>
      </w:r>
    </w:p>
    <w:p w14:paraId="70163327" w14:textId="77777777" w:rsidR="003467C8" w:rsidRPr="008C120E"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r w:rsidRPr="008C120E">
        <w:rPr>
          <w:rFonts w:ascii="Times New Roman" w:eastAsia="Times New Roman" w:hAnsi="Times New Roman"/>
          <w:b/>
          <w:bCs/>
          <w:sz w:val="28"/>
          <w:szCs w:val="28"/>
          <w:lang w:eastAsia="ru-RU"/>
        </w:rPr>
        <w:t xml:space="preserve">фінансового управління Мукачівської міської ради </w:t>
      </w:r>
    </w:p>
    <w:p w14:paraId="1EB556AE" w14:textId="1338940D" w:rsidR="003467C8" w:rsidRPr="003467C8"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r w:rsidRPr="008C120E">
        <w:rPr>
          <w:rFonts w:ascii="Times New Roman" w:eastAsia="Times New Roman" w:hAnsi="Times New Roman"/>
          <w:b/>
          <w:bCs/>
          <w:sz w:val="28"/>
          <w:szCs w:val="28"/>
          <w:lang w:eastAsia="ru-RU"/>
        </w:rPr>
        <w:t>за січень –</w:t>
      </w:r>
      <w:r w:rsidR="002E7391">
        <w:rPr>
          <w:rFonts w:ascii="Times New Roman" w:eastAsia="Times New Roman" w:hAnsi="Times New Roman"/>
          <w:b/>
          <w:bCs/>
          <w:sz w:val="28"/>
          <w:szCs w:val="28"/>
          <w:lang w:val="uk-UA" w:eastAsia="ru-RU"/>
        </w:rPr>
        <w:t xml:space="preserve"> </w:t>
      </w:r>
      <w:r w:rsidR="00CA14A2">
        <w:rPr>
          <w:rFonts w:ascii="Times New Roman" w:eastAsia="Times New Roman" w:hAnsi="Times New Roman"/>
          <w:b/>
          <w:bCs/>
          <w:sz w:val="28"/>
          <w:szCs w:val="28"/>
          <w:lang w:eastAsia="ru-RU"/>
        </w:rPr>
        <w:t>березень</w:t>
      </w:r>
      <w:r w:rsidRPr="008C120E">
        <w:rPr>
          <w:rFonts w:ascii="Times New Roman" w:eastAsia="Times New Roman" w:hAnsi="Times New Roman"/>
          <w:b/>
          <w:bCs/>
          <w:sz w:val="28"/>
          <w:szCs w:val="28"/>
          <w:lang w:eastAsia="ru-RU"/>
        </w:rPr>
        <w:t xml:space="preserve"> 20</w:t>
      </w:r>
      <w:r w:rsidR="00CA14A2">
        <w:rPr>
          <w:rFonts w:ascii="Times New Roman" w:eastAsia="Times New Roman" w:hAnsi="Times New Roman"/>
          <w:b/>
          <w:bCs/>
          <w:sz w:val="28"/>
          <w:szCs w:val="28"/>
          <w:lang w:eastAsia="ru-RU"/>
        </w:rPr>
        <w:t>22</w:t>
      </w:r>
      <w:r>
        <w:rPr>
          <w:rFonts w:ascii="Times New Roman" w:eastAsia="Times New Roman" w:hAnsi="Times New Roman"/>
          <w:b/>
          <w:bCs/>
          <w:sz w:val="28"/>
          <w:szCs w:val="28"/>
          <w:lang w:eastAsia="ru-RU"/>
        </w:rPr>
        <w:t xml:space="preserve"> року</w:t>
      </w:r>
    </w:p>
    <w:p w14:paraId="2DCB2043" w14:textId="77777777" w:rsidR="003467C8" w:rsidRPr="0062521D" w:rsidRDefault="003467C8" w:rsidP="00C315E2">
      <w:pPr>
        <w:pStyle w:val="a7"/>
        <w:spacing w:before="0" w:beforeAutospacing="0" w:after="240" w:afterAutospacing="0" w:line="276" w:lineRule="auto"/>
        <w:ind w:firstLine="720"/>
        <w:jc w:val="both"/>
        <w:textAlignment w:val="baseline"/>
        <w:rPr>
          <w:sz w:val="28"/>
          <w:szCs w:val="28"/>
        </w:rPr>
      </w:pPr>
      <w:r w:rsidRPr="003C0E24">
        <w:rPr>
          <w:sz w:val="28"/>
          <w:szCs w:val="28"/>
        </w:rPr>
        <w:t>Фінансове управління Мукачівської міської ради здійснює реалізацію державної фінансової політики в Мукачівській міській  територіальній        громаді. Основним  напрямком роботи управління є організаційно-процедурні питання щодо прогнозу, складання, розгляду, затвердження, виконання міського бюджету (включаючи внесення змін до рішення про бюджет</w:t>
      </w:r>
      <w:r w:rsidRPr="00524EBF">
        <w:rPr>
          <w:sz w:val="28"/>
          <w:szCs w:val="28"/>
        </w:rPr>
        <w:t xml:space="preserve"> </w:t>
      </w:r>
      <w:r>
        <w:rPr>
          <w:sz w:val="28"/>
          <w:szCs w:val="28"/>
        </w:rPr>
        <w:t xml:space="preserve">Мукачівської </w:t>
      </w:r>
      <w:r w:rsidRPr="0062521D">
        <w:rPr>
          <w:sz w:val="28"/>
          <w:szCs w:val="28"/>
        </w:rPr>
        <w:t>міської територіальної громади), звітування про його виконання.</w:t>
      </w:r>
    </w:p>
    <w:p w14:paraId="64A17604" w14:textId="0907E3ED" w:rsidR="003467C8" w:rsidRPr="00C50CED" w:rsidRDefault="003467C8" w:rsidP="00C315E2">
      <w:pPr>
        <w:pStyle w:val="a7"/>
        <w:spacing w:before="0" w:beforeAutospacing="0" w:after="240" w:afterAutospacing="0" w:line="276" w:lineRule="auto"/>
        <w:ind w:firstLine="720"/>
        <w:jc w:val="both"/>
        <w:textAlignment w:val="baseline"/>
        <w:rPr>
          <w:sz w:val="28"/>
          <w:szCs w:val="28"/>
        </w:rPr>
      </w:pPr>
      <w:r w:rsidRPr="0062521D">
        <w:rPr>
          <w:sz w:val="28"/>
          <w:szCs w:val="28"/>
        </w:rPr>
        <w:t xml:space="preserve">Протягом звітного періоду фінансовим управлінням в межах своєї компетенції  підготовлено проєкти рішень з питань, що регулюють бюджетний процес на розгляд засідання виконавчого комітету — </w:t>
      </w:r>
      <w:r w:rsidR="00225A2A">
        <w:rPr>
          <w:sz w:val="28"/>
          <w:szCs w:val="28"/>
        </w:rPr>
        <w:t>3</w:t>
      </w:r>
      <w:r w:rsidRPr="0062521D">
        <w:rPr>
          <w:sz w:val="28"/>
          <w:szCs w:val="28"/>
        </w:rPr>
        <w:t xml:space="preserve">, на розгляд сесії міської ради – </w:t>
      </w:r>
      <w:r w:rsidR="0062521D" w:rsidRPr="0062521D">
        <w:rPr>
          <w:sz w:val="28"/>
          <w:szCs w:val="28"/>
        </w:rPr>
        <w:t>4</w:t>
      </w:r>
      <w:r w:rsidRPr="0062521D">
        <w:rPr>
          <w:sz w:val="28"/>
          <w:szCs w:val="28"/>
        </w:rPr>
        <w:t xml:space="preserve"> .</w:t>
      </w:r>
      <w:r w:rsidRPr="00C50CED">
        <w:rPr>
          <w:sz w:val="28"/>
          <w:szCs w:val="28"/>
        </w:rPr>
        <w:t xml:space="preserve"> </w:t>
      </w:r>
    </w:p>
    <w:p w14:paraId="213962D4" w14:textId="77777777" w:rsidR="003467C8" w:rsidRPr="00A22CBE" w:rsidRDefault="003467C8" w:rsidP="00EB70B3">
      <w:pPr>
        <w:spacing w:after="0"/>
        <w:ind w:firstLine="567"/>
        <w:jc w:val="both"/>
        <w:rPr>
          <w:rFonts w:ascii="Times New Roman" w:hAnsi="Times New Roman"/>
          <w:noProof/>
          <w:sz w:val="28"/>
          <w:szCs w:val="28"/>
        </w:rPr>
      </w:pPr>
      <w:r w:rsidRPr="00A22CBE">
        <w:rPr>
          <w:rFonts w:ascii="Times New Roman" w:hAnsi="Times New Roman"/>
          <w:noProof/>
          <w:sz w:val="28"/>
          <w:szCs w:val="28"/>
        </w:rPr>
        <w:t>Завдання та функції фінансового управлiння визначені окремими положеннями  Бюджетного кодексу України та положенням про управління, результатами виконання яких протягом звітного періоду є:</w:t>
      </w:r>
    </w:p>
    <w:p w14:paraId="31911DA8" w14:textId="77777777" w:rsidR="003467C8" w:rsidRPr="00A22CBE" w:rsidRDefault="003467C8" w:rsidP="00EB70B3">
      <w:pPr>
        <w:spacing w:after="0"/>
        <w:ind w:left="567"/>
        <w:jc w:val="both"/>
        <w:rPr>
          <w:rFonts w:ascii="Times New Roman" w:hAnsi="Times New Roman"/>
          <w:noProof/>
          <w:sz w:val="28"/>
          <w:szCs w:val="28"/>
        </w:rPr>
      </w:pPr>
      <w:r w:rsidRPr="00A22CBE">
        <w:rPr>
          <w:rFonts w:ascii="Times New Roman" w:hAnsi="Times New Roman"/>
          <w:sz w:val="28"/>
          <w:szCs w:val="28"/>
        </w:rPr>
        <w:t xml:space="preserve">проведення і координація роботи, пов'язаної з формуванням постійного </w:t>
      </w:r>
      <w:r w:rsidR="00AF5DB8" w:rsidRPr="00A22CBE">
        <w:rPr>
          <w:rFonts w:ascii="Times New Roman" w:hAnsi="Times New Roman"/>
          <w:sz w:val="28"/>
          <w:szCs w:val="28"/>
        </w:rPr>
        <w:t xml:space="preserve">розпису </w:t>
      </w:r>
      <w:r w:rsidR="00AF5DB8" w:rsidRPr="00A22CBE">
        <w:rPr>
          <w:rFonts w:ascii="Times New Roman" w:hAnsi="Times New Roman"/>
          <w:noProof/>
          <w:sz w:val="28"/>
          <w:szCs w:val="28"/>
        </w:rPr>
        <w:t>доход</w:t>
      </w:r>
      <w:r w:rsidRPr="00A22CBE">
        <w:rPr>
          <w:rFonts w:ascii="Times New Roman" w:hAnsi="Times New Roman"/>
          <w:noProof/>
          <w:sz w:val="28"/>
          <w:szCs w:val="28"/>
        </w:rPr>
        <w:t xml:space="preserve">iв i видаткiв  бюджету; </w:t>
      </w:r>
    </w:p>
    <w:p w14:paraId="272B8A2D" w14:textId="77777777" w:rsidR="003467C8" w:rsidRPr="00A22CBE" w:rsidRDefault="003467C8" w:rsidP="00EB70B3">
      <w:pPr>
        <w:spacing w:after="0"/>
        <w:ind w:left="567"/>
        <w:jc w:val="both"/>
        <w:rPr>
          <w:rFonts w:ascii="Times New Roman" w:hAnsi="Times New Roman"/>
          <w:noProof/>
          <w:sz w:val="28"/>
          <w:szCs w:val="28"/>
        </w:rPr>
      </w:pPr>
      <w:r w:rsidRPr="00A22CBE">
        <w:rPr>
          <w:rFonts w:ascii="Times New Roman" w:hAnsi="Times New Roman"/>
          <w:noProof/>
          <w:sz w:val="28"/>
          <w:szCs w:val="28"/>
        </w:rPr>
        <w:t>виконання вимог бюджетного законодавства щодо першочерговості забезпечення коштами видатків на оплату праці з нарахуваннями;</w:t>
      </w:r>
    </w:p>
    <w:p w14:paraId="4C60B983" w14:textId="77777777" w:rsidR="003467C8" w:rsidRPr="00A22CBE" w:rsidRDefault="003467C8" w:rsidP="00EB70B3">
      <w:pPr>
        <w:spacing w:after="0"/>
        <w:ind w:left="567"/>
        <w:jc w:val="both"/>
        <w:rPr>
          <w:rFonts w:ascii="Times New Roman" w:hAnsi="Times New Roman"/>
          <w:noProof/>
          <w:sz w:val="28"/>
          <w:szCs w:val="28"/>
        </w:rPr>
      </w:pPr>
      <w:r w:rsidRPr="00A22CBE">
        <w:rPr>
          <w:rFonts w:ascii="Times New Roman" w:hAnsi="Times New Roman"/>
          <w:noProof/>
          <w:sz w:val="28"/>
          <w:szCs w:val="28"/>
        </w:rPr>
        <w:t>дотримання першочерговості фінансування захищених статей видатків;</w:t>
      </w:r>
    </w:p>
    <w:p w14:paraId="35B9B646" w14:textId="77777777" w:rsidR="003467C8" w:rsidRPr="003467C8" w:rsidRDefault="003467C8" w:rsidP="00EB70B3">
      <w:pPr>
        <w:spacing w:after="0"/>
        <w:ind w:left="567"/>
        <w:jc w:val="both"/>
        <w:rPr>
          <w:rFonts w:ascii="Times New Roman" w:hAnsi="Times New Roman"/>
          <w:noProof/>
          <w:sz w:val="28"/>
          <w:szCs w:val="28"/>
        </w:rPr>
      </w:pPr>
      <w:r w:rsidRPr="003467C8">
        <w:rPr>
          <w:rFonts w:ascii="Times New Roman" w:hAnsi="Times New Roman"/>
          <w:noProof/>
          <w:sz w:val="28"/>
          <w:szCs w:val="28"/>
        </w:rPr>
        <w:t>відсутність кредиторської заборгованості;</w:t>
      </w:r>
    </w:p>
    <w:p w14:paraId="3092738C" w14:textId="77777777" w:rsidR="003467C8" w:rsidRPr="003467C8" w:rsidRDefault="003467C8" w:rsidP="00EB70B3">
      <w:pPr>
        <w:spacing w:after="0"/>
        <w:ind w:left="567"/>
        <w:jc w:val="both"/>
        <w:rPr>
          <w:rFonts w:ascii="Times New Roman" w:hAnsi="Times New Roman"/>
          <w:noProof/>
          <w:sz w:val="28"/>
          <w:szCs w:val="28"/>
        </w:rPr>
      </w:pPr>
      <w:r w:rsidRPr="003467C8">
        <w:rPr>
          <w:rFonts w:ascii="Times New Roman" w:hAnsi="Times New Roman"/>
          <w:noProof/>
          <w:sz w:val="28"/>
          <w:szCs w:val="28"/>
        </w:rPr>
        <w:t xml:space="preserve">забезпечення протягом бюджетного перiоду вiдповiдності розпису  бюджету затвердженим призначенням та фінансування видатків бюджету згідно із затвердженими кошторисами; </w:t>
      </w:r>
    </w:p>
    <w:p w14:paraId="7D678CB6" w14:textId="77777777" w:rsidR="003467C8" w:rsidRPr="003467C8" w:rsidRDefault="003467C8" w:rsidP="00EB70B3">
      <w:pPr>
        <w:spacing w:after="0"/>
        <w:ind w:left="567"/>
        <w:jc w:val="both"/>
        <w:rPr>
          <w:rFonts w:ascii="Times New Roman" w:hAnsi="Times New Roman"/>
          <w:sz w:val="28"/>
          <w:szCs w:val="28"/>
        </w:rPr>
      </w:pPr>
      <w:r w:rsidRPr="003467C8">
        <w:rPr>
          <w:rFonts w:ascii="Times New Roman" w:hAnsi="Times New Roman"/>
          <w:sz w:val="28"/>
          <w:szCs w:val="28"/>
        </w:rPr>
        <w:t>цільове і оперативне використання субвенцій з державного бюджету;</w:t>
      </w:r>
    </w:p>
    <w:p w14:paraId="088E0D91" w14:textId="77777777" w:rsidR="003467C8" w:rsidRPr="003467C8" w:rsidRDefault="003467C8" w:rsidP="00EB70B3">
      <w:pPr>
        <w:spacing w:after="0"/>
        <w:ind w:left="567"/>
        <w:jc w:val="both"/>
        <w:rPr>
          <w:rFonts w:ascii="Times New Roman" w:hAnsi="Times New Roman"/>
          <w:sz w:val="28"/>
          <w:szCs w:val="28"/>
        </w:rPr>
      </w:pPr>
      <w:r w:rsidRPr="003467C8">
        <w:rPr>
          <w:rFonts w:ascii="Times New Roman" w:hAnsi="Times New Roman"/>
          <w:sz w:val="28"/>
          <w:szCs w:val="28"/>
        </w:rPr>
        <w:t>збалансованість бюджету;</w:t>
      </w:r>
    </w:p>
    <w:p w14:paraId="4CAB396F" w14:textId="77777777" w:rsidR="003467C8" w:rsidRPr="003467C8" w:rsidRDefault="003467C8" w:rsidP="00EB70B3">
      <w:pPr>
        <w:spacing w:after="0"/>
        <w:ind w:left="567"/>
        <w:jc w:val="both"/>
        <w:rPr>
          <w:rFonts w:ascii="Times New Roman" w:hAnsi="Times New Roman"/>
          <w:sz w:val="28"/>
          <w:szCs w:val="28"/>
        </w:rPr>
      </w:pPr>
      <w:r w:rsidRPr="003467C8">
        <w:rPr>
          <w:rFonts w:ascii="Times New Roman" w:hAnsi="Times New Roman"/>
          <w:sz w:val="28"/>
          <w:szCs w:val="28"/>
        </w:rPr>
        <w:t>щомісячне виконання планових показників бюджету.</w:t>
      </w:r>
    </w:p>
    <w:p w14:paraId="5FC73548" w14:textId="77777777" w:rsidR="003467C8" w:rsidRPr="003467C8" w:rsidRDefault="003467C8" w:rsidP="00AF5DB8">
      <w:pPr>
        <w:ind w:firstLine="567"/>
        <w:jc w:val="both"/>
        <w:textAlignment w:val="baseline"/>
        <w:rPr>
          <w:rFonts w:ascii="Times New Roman" w:eastAsia="Times New Roman" w:hAnsi="Times New Roman"/>
          <w:sz w:val="28"/>
          <w:szCs w:val="28"/>
          <w:lang w:eastAsia="uk-UA"/>
        </w:rPr>
      </w:pPr>
      <w:r w:rsidRPr="003467C8">
        <w:rPr>
          <w:rFonts w:ascii="Times New Roman" w:eastAsia="Times New Roman" w:hAnsi="Times New Roman"/>
          <w:sz w:val="28"/>
          <w:szCs w:val="28"/>
          <w:lang w:eastAsia="uk-UA"/>
        </w:rPr>
        <w:t xml:space="preserve">Важливим показником роботи фінансового управління Мукачівської міської ради є виконання бюджету Мукачівської </w:t>
      </w:r>
      <w:r w:rsidR="00AF5DB8" w:rsidRPr="003467C8">
        <w:rPr>
          <w:rFonts w:ascii="Times New Roman" w:eastAsia="Times New Roman" w:hAnsi="Times New Roman"/>
          <w:sz w:val="28"/>
          <w:szCs w:val="28"/>
          <w:lang w:eastAsia="uk-UA"/>
        </w:rPr>
        <w:t>міської територіальної</w:t>
      </w:r>
      <w:r w:rsidRPr="003467C8">
        <w:rPr>
          <w:rFonts w:ascii="Times New Roman" w:eastAsia="Times New Roman" w:hAnsi="Times New Roman"/>
          <w:sz w:val="28"/>
          <w:szCs w:val="28"/>
          <w:lang w:eastAsia="uk-UA"/>
        </w:rPr>
        <w:t xml:space="preserve"> громади.</w:t>
      </w:r>
    </w:p>
    <w:p w14:paraId="07C8E3CE" w14:textId="77777777" w:rsidR="00CA14A2" w:rsidRPr="00CA14A2" w:rsidRDefault="00CA14A2" w:rsidP="00CA14A2">
      <w:pPr>
        <w:ind w:firstLine="709"/>
        <w:jc w:val="both"/>
        <w:rPr>
          <w:rFonts w:ascii="Times New Roman" w:hAnsi="Times New Roman"/>
          <w:color w:val="000000"/>
          <w:sz w:val="28"/>
          <w:szCs w:val="28"/>
        </w:rPr>
      </w:pPr>
      <w:bookmarkStart w:id="0" w:name="_Hlk13051804"/>
      <w:bookmarkStart w:id="1" w:name="_Hlk45107025"/>
      <w:r w:rsidRPr="00CA14A2">
        <w:rPr>
          <w:rFonts w:ascii="Times New Roman" w:hAnsi="Times New Roman"/>
          <w:sz w:val="28"/>
          <w:szCs w:val="28"/>
        </w:rPr>
        <w:t xml:space="preserve">За </w:t>
      </w:r>
      <w:r w:rsidRPr="00CA14A2">
        <w:rPr>
          <w:rFonts w:ascii="Times New Roman" w:hAnsi="Times New Roman"/>
          <w:sz w:val="28"/>
          <w:szCs w:val="28"/>
          <w:lang w:val="uk-UA"/>
        </w:rPr>
        <w:t xml:space="preserve">січень – березень </w:t>
      </w:r>
      <w:r w:rsidRPr="00CA14A2">
        <w:rPr>
          <w:rFonts w:ascii="Times New Roman" w:hAnsi="Times New Roman"/>
          <w:sz w:val="28"/>
          <w:szCs w:val="28"/>
        </w:rPr>
        <w:t>202</w:t>
      </w:r>
      <w:r w:rsidRPr="00CA14A2">
        <w:rPr>
          <w:rFonts w:ascii="Times New Roman" w:hAnsi="Times New Roman"/>
          <w:sz w:val="28"/>
          <w:szCs w:val="28"/>
          <w:lang w:val="uk-UA"/>
        </w:rPr>
        <w:t>2</w:t>
      </w:r>
      <w:r w:rsidRPr="00CA14A2">
        <w:rPr>
          <w:rFonts w:ascii="Times New Roman" w:hAnsi="Times New Roman"/>
          <w:sz w:val="28"/>
          <w:szCs w:val="28"/>
        </w:rPr>
        <w:t xml:space="preserve"> </w:t>
      </w:r>
      <w:r w:rsidRPr="00CA14A2">
        <w:rPr>
          <w:rFonts w:ascii="Times New Roman" w:hAnsi="Times New Roman"/>
          <w:sz w:val="28"/>
          <w:szCs w:val="28"/>
          <w:lang w:val="uk-UA"/>
        </w:rPr>
        <w:t>року</w:t>
      </w:r>
      <w:r w:rsidRPr="00CA14A2">
        <w:rPr>
          <w:rFonts w:ascii="Times New Roman" w:hAnsi="Times New Roman"/>
          <w:color w:val="000000"/>
          <w:sz w:val="28"/>
          <w:szCs w:val="28"/>
        </w:rPr>
        <w:t xml:space="preserve"> до бюджету Мукачівської міської територіальної громади надійшло </w:t>
      </w:r>
      <w:r w:rsidRPr="00CA14A2">
        <w:rPr>
          <w:rFonts w:ascii="Times New Roman" w:hAnsi="Times New Roman"/>
          <w:color w:val="000000"/>
          <w:sz w:val="28"/>
          <w:szCs w:val="28"/>
          <w:lang w:val="uk-UA"/>
        </w:rPr>
        <w:t>300 488,5 тис</w:t>
      </w:r>
      <w:r w:rsidRPr="00CA14A2">
        <w:rPr>
          <w:rFonts w:ascii="Times New Roman" w:hAnsi="Times New Roman"/>
          <w:color w:val="000000"/>
          <w:sz w:val="28"/>
          <w:szCs w:val="28"/>
        </w:rPr>
        <w:t>. грн., зокрема:</w:t>
      </w:r>
    </w:p>
    <w:p w14:paraId="40D81D51" w14:textId="77777777" w:rsidR="00CA14A2" w:rsidRPr="00CA14A2" w:rsidRDefault="00CA14A2" w:rsidP="00CA14A2">
      <w:pPr>
        <w:numPr>
          <w:ilvl w:val="0"/>
          <w:numId w:val="9"/>
        </w:numPr>
        <w:tabs>
          <w:tab w:val="left" w:pos="993"/>
        </w:tabs>
        <w:spacing w:after="0" w:line="240" w:lineRule="auto"/>
        <w:ind w:left="0" w:firstLine="709"/>
        <w:jc w:val="both"/>
        <w:textAlignment w:val="baseline"/>
        <w:rPr>
          <w:rFonts w:ascii="Times New Roman" w:hAnsi="Times New Roman"/>
          <w:b/>
          <w:color w:val="000000"/>
          <w:sz w:val="28"/>
          <w:szCs w:val="28"/>
          <w:lang w:eastAsia="uk-UA"/>
        </w:rPr>
      </w:pPr>
      <w:r w:rsidRPr="00CA14A2">
        <w:rPr>
          <w:rFonts w:ascii="Times New Roman" w:hAnsi="Times New Roman"/>
          <w:b/>
          <w:color w:val="000000"/>
          <w:sz w:val="28"/>
          <w:szCs w:val="28"/>
          <w:lang w:eastAsia="uk-UA"/>
        </w:rPr>
        <w:t xml:space="preserve">до загального фонду – </w:t>
      </w:r>
      <w:r w:rsidRPr="00CA14A2">
        <w:rPr>
          <w:rFonts w:ascii="Times New Roman" w:hAnsi="Times New Roman"/>
          <w:b/>
          <w:color w:val="000000"/>
          <w:sz w:val="28"/>
          <w:szCs w:val="28"/>
          <w:lang w:val="uk-UA"/>
        </w:rPr>
        <w:t>286 915,5 тис.</w:t>
      </w:r>
      <w:r w:rsidRPr="00CA14A2">
        <w:rPr>
          <w:rFonts w:ascii="Times New Roman" w:hAnsi="Times New Roman"/>
          <w:b/>
          <w:color w:val="000000"/>
          <w:sz w:val="28"/>
          <w:szCs w:val="28"/>
          <w:lang w:eastAsia="uk-UA"/>
        </w:rPr>
        <w:t xml:space="preserve"> грн., з них:</w:t>
      </w:r>
    </w:p>
    <w:p w14:paraId="3DE99134" w14:textId="77777777" w:rsidR="00CA14A2" w:rsidRPr="00CA14A2" w:rsidRDefault="00CA14A2" w:rsidP="00CA14A2">
      <w:pPr>
        <w:numPr>
          <w:ilvl w:val="0"/>
          <w:numId w:val="8"/>
        </w:numPr>
        <w:suppressAutoHyphens/>
        <w:spacing w:after="0" w:line="240" w:lineRule="auto"/>
        <w:ind w:left="993" w:hanging="219"/>
        <w:jc w:val="both"/>
        <w:rPr>
          <w:rFonts w:ascii="Times New Roman" w:hAnsi="Times New Roman"/>
          <w:sz w:val="28"/>
          <w:szCs w:val="28"/>
          <w:lang w:val="uk-UA" w:eastAsia="zh-CN"/>
        </w:rPr>
      </w:pPr>
      <w:r w:rsidRPr="00CA14A2">
        <w:rPr>
          <w:rFonts w:ascii="Times New Roman" w:hAnsi="Times New Roman"/>
          <w:color w:val="000000"/>
          <w:sz w:val="28"/>
          <w:szCs w:val="28"/>
          <w:lang w:eastAsia="uk-UA"/>
        </w:rPr>
        <w:t xml:space="preserve">податки, збори та інші доходи – </w:t>
      </w:r>
      <w:r w:rsidRPr="00CA14A2">
        <w:rPr>
          <w:rFonts w:ascii="Times New Roman" w:hAnsi="Times New Roman"/>
          <w:color w:val="000000"/>
          <w:sz w:val="28"/>
          <w:szCs w:val="28"/>
          <w:lang w:val="uk-UA" w:eastAsia="uk-UA"/>
        </w:rPr>
        <w:t>218 461,7 тис.</w:t>
      </w:r>
      <w:r w:rsidRPr="00CA14A2">
        <w:rPr>
          <w:rFonts w:ascii="Times New Roman" w:hAnsi="Times New Roman"/>
          <w:color w:val="000000"/>
          <w:sz w:val="28"/>
          <w:szCs w:val="28"/>
          <w:lang w:eastAsia="uk-UA"/>
        </w:rPr>
        <w:t xml:space="preserve"> грн.,</w:t>
      </w:r>
      <w:r w:rsidRPr="00CA14A2">
        <w:rPr>
          <w:rFonts w:ascii="Times New Roman" w:hAnsi="Times New Roman"/>
          <w:color w:val="000000"/>
          <w:sz w:val="28"/>
          <w:szCs w:val="28"/>
        </w:rPr>
        <w:t xml:space="preserve"> рівень виконання становить 1</w:t>
      </w:r>
      <w:r w:rsidRPr="00CA14A2">
        <w:rPr>
          <w:rFonts w:ascii="Times New Roman" w:hAnsi="Times New Roman"/>
          <w:color w:val="000000"/>
          <w:sz w:val="28"/>
          <w:szCs w:val="28"/>
          <w:lang w:val="uk-UA"/>
        </w:rPr>
        <w:t>11,1</w:t>
      </w:r>
      <w:r w:rsidRPr="00CA14A2">
        <w:rPr>
          <w:rFonts w:ascii="Times New Roman" w:hAnsi="Times New Roman"/>
          <w:color w:val="000000"/>
          <w:sz w:val="28"/>
          <w:szCs w:val="28"/>
        </w:rPr>
        <w:t xml:space="preserve"> відсотків, понад </w:t>
      </w:r>
      <w:r w:rsidRPr="00CA14A2">
        <w:rPr>
          <w:rFonts w:ascii="Times New Roman" w:hAnsi="Times New Roman"/>
          <w:color w:val="000000"/>
          <w:sz w:val="28"/>
          <w:szCs w:val="28"/>
          <w:lang w:val="uk-UA"/>
        </w:rPr>
        <w:t>затверджений</w:t>
      </w:r>
      <w:r w:rsidRPr="00CA14A2">
        <w:rPr>
          <w:rFonts w:ascii="Times New Roman" w:hAnsi="Times New Roman"/>
          <w:color w:val="000000"/>
          <w:sz w:val="28"/>
          <w:szCs w:val="28"/>
        </w:rPr>
        <w:t xml:space="preserve"> план надійшло </w:t>
      </w:r>
      <w:r w:rsidRPr="00CA14A2">
        <w:rPr>
          <w:rFonts w:ascii="Times New Roman" w:hAnsi="Times New Roman"/>
          <w:color w:val="000000"/>
          <w:sz w:val="28"/>
          <w:szCs w:val="28"/>
          <w:lang w:val="uk-UA"/>
        </w:rPr>
        <w:t xml:space="preserve">21 832,1 </w:t>
      </w:r>
      <w:r w:rsidRPr="00CA14A2">
        <w:rPr>
          <w:rFonts w:ascii="Times New Roman" w:hAnsi="Times New Roman"/>
          <w:color w:val="000000"/>
          <w:sz w:val="28"/>
          <w:szCs w:val="28"/>
          <w:lang w:val="uk-UA"/>
        </w:rPr>
        <w:lastRenderedPageBreak/>
        <w:t xml:space="preserve">тис. грн. </w:t>
      </w:r>
      <w:r w:rsidRPr="00CA14A2">
        <w:rPr>
          <w:rFonts w:ascii="Times New Roman" w:hAnsi="Times New Roman"/>
          <w:sz w:val="28"/>
          <w:szCs w:val="28"/>
        </w:rPr>
        <w:t>У порівнянні до аналогічного періоду минулого року надходження зросли на</w:t>
      </w:r>
      <w:r w:rsidRPr="00CA14A2">
        <w:rPr>
          <w:rFonts w:ascii="Times New Roman" w:hAnsi="Times New Roman"/>
          <w:sz w:val="28"/>
          <w:szCs w:val="28"/>
          <w:lang w:val="uk-UA"/>
        </w:rPr>
        <w:t xml:space="preserve"> 36 563,6</w:t>
      </w:r>
      <w:r w:rsidRPr="00CA14A2">
        <w:rPr>
          <w:rFonts w:ascii="Times New Roman" w:hAnsi="Times New Roman"/>
          <w:sz w:val="28"/>
          <w:szCs w:val="28"/>
        </w:rPr>
        <w:t xml:space="preserve"> тис. грн. або на </w:t>
      </w:r>
      <w:r w:rsidRPr="00CA14A2">
        <w:rPr>
          <w:rFonts w:ascii="Times New Roman" w:hAnsi="Times New Roman"/>
          <w:sz w:val="28"/>
          <w:szCs w:val="28"/>
          <w:lang w:val="uk-UA"/>
        </w:rPr>
        <w:t xml:space="preserve">20,1 </w:t>
      </w:r>
      <w:r w:rsidRPr="00CA14A2">
        <w:rPr>
          <w:rFonts w:ascii="Times New Roman" w:hAnsi="Times New Roman"/>
          <w:sz w:val="28"/>
          <w:szCs w:val="28"/>
        </w:rPr>
        <w:t>відсотків;</w:t>
      </w:r>
    </w:p>
    <w:p w14:paraId="44745D7E" w14:textId="77777777" w:rsidR="00CA14A2" w:rsidRPr="00CA14A2" w:rsidRDefault="00CA14A2" w:rsidP="00CA14A2">
      <w:pPr>
        <w:numPr>
          <w:ilvl w:val="0"/>
          <w:numId w:val="8"/>
        </w:numPr>
        <w:suppressAutoHyphens/>
        <w:spacing w:after="0" w:line="240" w:lineRule="auto"/>
        <w:ind w:left="993" w:hanging="284"/>
        <w:jc w:val="both"/>
        <w:rPr>
          <w:rFonts w:ascii="Times New Roman" w:hAnsi="Times New Roman"/>
          <w:sz w:val="28"/>
          <w:szCs w:val="28"/>
          <w:lang w:val="uk-UA" w:eastAsia="zh-CN"/>
        </w:rPr>
      </w:pPr>
      <w:r w:rsidRPr="00CA14A2">
        <w:rPr>
          <w:rFonts w:ascii="Times New Roman" w:hAnsi="Times New Roman"/>
          <w:color w:val="000000"/>
          <w:sz w:val="28"/>
          <w:szCs w:val="28"/>
          <w:lang w:val="uk-UA" w:eastAsia="uk-UA"/>
        </w:rPr>
        <w:t xml:space="preserve">міжбюджетні трансферти – </w:t>
      </w:r>
      <w:r w:rsidRPr="00CA14A2">
        <w:rPr>
          <w:rFonts w:ascii="Times New Roman" w:hAnsi="Times New Roman"/>
          <w:color w:val="000000"/>
          <w:sz w:val="28"/>
          <w:szCs w:val="28"/>
          <w:lang w:val="uk-UA"/>
        </w:rPr>
        <w:t>68 453,8 тис. грн., що становить 99,9 відсотків до затвердженого планового показника на січень-березень 2022 року, у порівнянні з відповідним періодом минулого року надходження офіційних трансфертів збільшились на 13 084,5 тис. грн. або на 23,6 відсотка;</w:t>
      </w:r>
    </w:p>
    <w:p w14:paraId="3F33904D" w14:textId="77777777" w:rsidR="00CA14A2" w:rsidRPr="00CA14A2" w:rsidRDefault="00CA14A2" w:rsidP="00CA14A2">
      <w:pPr>
        <w:numPr>
          <w:ilvl w:val="0"/>
          <w:numId w:val="9"/>
        </w:numPr>
        <w:tabs>
          <w:tab w:val="left" w:pos="993"/>
        </w:tabs>
        <w:spacing w:after="0" w:line="240" w:lineRule="auto"/>
        <w:ind w:left="993" w:hanging="284"/>
        <w:jc w:val="both"/>
        <w:textAlignment w:val="baseline"/>
        <w:rPr>
          <w:rFonts w:ascii="Times New Roman" w:hAnsi="Times New Roman"/>
          <w:sz w:val="28"/>
          <w:szCs w:val="28"/>
          <w:lang w:val="uk-UA" w:eastAsia="zh-CN"/>
        </w:rPr>
      </w:pPr>
      <w:r w:rsidRPr="00CA14A2">
        <w:rPr>
          <w:rFonts w:ascii="Times New Roman" w:hAnsi="Times New Roman"/>
          <w:b/>
          <w:color w:val="000000"/>
          <w:sz w:val="28"/>
          <w:szCs w:val="28"/>
          <w:lang w:eastAsia="uk-UA"/>
        </w:rPr>
        <w:t xml:space="preserve">до спеціального фонду – </w:t>
      </w:r>
      <w:r w:rsidRPr="00CA14A2">
        <w:rPr>
          <w:rFonts w:ascii="Times New Roman" w:hAnsi="Times New Roman"/>
          <w:b/>
          <w:color w:val="000000"/>
          <w:sz w:val="28"/>
          <w:szCs w:val="28"/>
          <w:lang w:val="uk-UA" w:eastAsia="uk-UA"/>
        </w:rPr>
        <w:t>13 573,0 тис.</w:t>
      </w:r>
      <w:r w:rsidRPr="00CA14A2">
        <w:rPr>
          <w:rFonts w:ascii="Times New Roman" w:hAnsi="Times New Roman"/>
          <w:b/>
          <w:color w:val="000000"/>
          <w:sz w:val="28"/>
          <w:szCs w:val="28"/>
          <w:lang w:eastAsia="uk-UA"/>
        </w:rPr>
        <w:t xml:space="preserve"> грн.</w:t>
      </w:r>
      <w:r w:rsidRPr="00CA14A2">
        <w:rPr>
          <w:rFonts w:ascii="Times New Roman" w:hAnsi="Times New Roman"/>
          <w:color w:val="000000"/>
          <w:sz w:val="28"/>
          <w:szCs w:val="28"/>
        </w:rPr>
        <w:t xml:space="preserve"> Рівень виконання становить </w:t>
      </w:r>
      <w:r w:rsidRPr="00CA14A2">
        <w:rPr>
          <w:rFonts w:ascii="Times New Roman" w:hAnsi="Times New Roman"/>
          <w:color w:val="000000"/>
          <w:sz w:val="28"/>
          <w:szCs w:val="28"/>
          <w:lang w:val="uk-UA"/>
        </w:rPr>
        <w:t>55,0</w:t>
      </w:r>
      <w:r w:rsidRPr="00CA14A2">
        <w:rPr>
          <w:rFonts w:ascii="Times New Roman" w:hAnsi="Times New Roman"/>
          <w:color w:val="000000"/>
          <w:sz w:val="28"/>
          <w:szCs w:val="28"/>
        </w:rPr>
        <w:t xml:space="preserve"> відсотків, </w:t>
      </w:r>
      <w:r w:rsidRPr="00CA14A2">
        <w:rPr>
          <w:rFonts w:ascii="Times New Roman" w:hAnsi="Times New Roman"/>
          <w:color w:val="000000"/>
          <w:sz w:val="28"/>
          <w:szCs w:val="28"/>
          <w:lang w:val="uk-UA"/>
        </w:rPr>
        <w:t xml:space="preserve">до </w:t>
      </w:r>
      <w:r w:rsidRPr="00CA14A2">
        <w:rPr>
          <w:rFonts w:ascii="Times New Roman" w:hAnsi="Times New Roman"/>
          <w:color w:val="000000"/>
          <w:sz w:val="28"/>
          <w:szCs w:val="28"/>
        </w:rPr>
        <w:t>план</w:t>
      </w:r>
      <w:r w:rsidRPr="00CA14A2">
        <w:rPr>
          <w:rFonts w:ascii="Times New Roman" w:hAnsi="Times New Roman"/>
          <w:color w:val="000000"/>
          <w:sz w:val="28"/>
          <w:szCs w:val="28"/>
          <w:lang w:val="uk-UA"/>
        </w:rPr>
        <w:t>у</w:t>
      </w:r>
      <w:r w:rsidRPr="00CA14A2">
        <w:rPr>
          <w:rFonts w:ascii="Times New Roman" w:hAnsi="Times New Roman"/>
          <w:color w:val="000000"/>
          <w:sz w:val="28"/>
          <w:szCs w:val="28"/>
        </w:rPr>
        <w:t xml:space="preserve"> </w:t>
      </w:r>
      <w:r w:rsidRPr="00CA14A2">
        <w:rPr>
          <w:rFonts w:ascii="Times New Roman" w:hAnsi="Times New Roman"/>
          <w:color w:val="000000"/>
          <w:sz w:val="28"/>
          <w:szCs w:val="28"/>
          <w:lang w:val="uk-UA"/>
        </w:rPr>
        <w:t xml:space="preserve">не </w:t>
      </w:r>
      <w:r w:rsidRPr="00CA14A2">
        <w:rPr>
          <w:rFonts w:ascii="Times New Roman" w:hAnsi="Times New Roman"/>
          <w:color w:val="000000"/>
          <w:sz w:val="28"/>
          <w:szCs w:val="28"/>
        </w:rPr>
        <w:t xml:space="preserve">надійшло </w:t>
      </w:r>
      <w:r w:rsidRPr="00CA14A2">
        <w:rPr>
          <w:rFonts w:ascii="Times New Roman" w:hAnsi="Times New Roman"/>
          <w:color w:val="000000"/>
          <w:sz w:val="28"/>
          <w:szCs w:val="28"/>
          <w:lang w:val="uk-UA"/>
        </w:rPr>
        <w:t xml:space="preserve">11 092,2 тис. грн. </w:t>
      </w:r>
      <w:r w:rsidRPr="00CA14A2">
        <w:rPr>
          <w:rFonts w:ascii="Times New Roman" w:hAnsi="Times New Roman"/>
          <w:sz w:val="28"/>
          <w:szCs w:val="28"/>
        </w:rPr>
        <w:t xml:space="preserve">У порівнянні до аналогічного періоду минулого року надходження </w:t>
      </w:r>
      <w:r w:rsidRPr="00CA14A2">
        <w:rPr>
          <w:rFonts w:ascii="Times New Roman" w:hAnsi="Times New Roman"/>
          <w:sz w:val="28"/>
          <w:szCs w:val="28"/>
          <w:lang w:val="uk-UA"/>
        </w:rPr>
        <w:t>зменшились</w:t>
      </w:r>
      <w:r w:rsidRPr="00CA14A2">
        <w:rPr>
          <w:rFonts w:ascii="Times New Roman" w:hAnsi="Times New Roman"/>
          <w:sz w:val="28"/>
          <w:szCs w:val="28"/>
        </w:rPr>
        <w:t xml:space="preserve"> на</w:t>
      </w:r>
      <w:r w:rsidRPr="00CA14A2">
        <w:rPr>
          <w:rFonts w:ascii="Times New Roman" w:hAnsi="Times New Roman"/>
          <w:sz w:val="28"/>
          <w:szCs w:val="28"/>
          <w:lang w:val="uk-UA"/>
        </w:rPr>
        <w:t xml:space="preserve"> 2 496,1</w:t>
      </w:r>
      <w:r w:rsidRPr="00CA14A2">
        <w:rPr>
          <w:rFonts w:ascii="Times New Roman" w:hAnsi="Times New Roman"/>
          <w:sz w:val="28"/>
          <w:szCs w:val="28"/>
        </w:rPr>
        <w:t xml:space="preserve"> тис. грн. або на </w:t>
      </w:r>
      <w:r w:rsidRPr="00CA14A2">
        <w:rPr>
          <w:rFonts w:ascii="Times New Roman" w:hAnsi="Times New Roman"/>
          <w:sz w:val="28"/>
          <w:szCs w:val="28"/>
          <w:lang w:val="uk-UA"/>
        </w:rPr>
        <w:t xml:space="preserve">15,5 </w:t>
      </w:r>
      <w:r w:rsidRPr="00CA14A2">
        <w:rPr>
          <w:rFonts w:ascii="Times New Roman" w:hAnsi="Times New Roman"/>
          <w:sz w:val="28"/>
          <w:szCs w:val="28"/>
        </w:rPr>
        <w:t>відсотків</w:t>
      </w:r>
      <w:r w:rsidRPr="00CA14A2">
        <w:rPr>
          <w:rFonts w:ascii="Times New Roman" w:hAnsi="Times New Roman"/>
          <w:sz w:val="28"/>
          <w:szCs w:val="28"/>
          <w:lang w:val="uk-UA"/>
        </w:rPr>
        <w:t>.</w:t>
      </w:r>
    </w:p>
    <w:p w14:paraId="3833B888" w14:textId="77777777" w:rsidR="00CA14A2" w:rsidRDefault="00CA14A2" w:rsidP="00CA14A2">
      <w:pPr>
        <w:jc w:val="both"/>
        <w:textAlignment w:val="baseline"/>
        <w:rPr>
          <w:rFonts w:ascii="Times New Roman" w:hAnsi="Times New Roman"/>
          <w:sz w:val="28"/>
          <w:szCs w:val="28"/>
          <w:lang w:val="uk-UA"/>
        </w:rPr>
      </w:pPr>
      <w:r w:rsidRPr="00CA14A2">
        <w:rPr>
          <w:rFonts w:ascii="Times New Roman" w:hAnsi="Times New Roman"/>
          <w:sz w:val="28"/>
          <w:szCs w:val="28"/>
          <w:lang w:val="uk-UA"/>
        </w:rPr>
        <w:tab/>
        <w:t xml:space="preserve">В цілому надходження по загальному та спеціальному фондах бюджету Мукачівської міської територіальної громади (без урахування міжбюджетних трансфертів) склали в сумі 232 034,7 тис. грн., при затвердженому плані 221 294,7 тис. грн. Рівень виконання за звітний період становить 104,9 відсотків. В звітному періоді приріст надходжень бюджету у порівнянні до аналогічного періоду минулого року склав в сумі 34 067,5 тис. грн. при темпі росту 17,2 відсотка. </w:t>
      </w:r>
    </w:p>
    <w:p w14:paraId="1ED2FBD4" w14:textId="41A49867" w:rsidR="00CA14A2" w:rsidRDefault="00CA14A2" w:rsidP="00CA14A2">
      <w:pPr>
        <w:jc w:val="both"/>
        <w:textAlignment w:val="baseline"/>
        <w:rPr>
          <w:rFonts w:ascii="Times New Roman" w:hAnsi="Times New Roman"/>
          <w:sz w:val="28"/>
          <w:szCs w:val="28"/>
          <w:lang w:val="uk-UA"/>
        </w:rPr>
      </w:pPr>
      <w:r w:rsidRPr="00B57C37">
        <w:rPr>
          <w:noProof/>
          <w:lang w:val="uk-UA" w:eastAsia="uk-UA"/>
        </w:rPr>
        <w:drawing>
          <wp:inline distT="0" distB="0" distL="0" distR="0" wp14:anchorId="1C55C02C" wp14:editId="2B39C8F3">
            <wp:extent cx="6120130" cy="2902911"/>
            <wp:effectExtent l="0" t="0" r="13970" b="1206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C01B5B" w14:textId="20699609" w:rsidR="00CA14A2" w:rsidRPr="00FD0B37" w:rsidRDefault="00CA14A2" w:rsidP="00CA14A2">
      <w:pPr>
        <w:pStyle w:val="a0"/>
        <w:tabs>
          <w:tab w:val="left" w:pos="0"/>
        </w:tabs>
        <w:rPr>
          <w:sz w:val="30"/>
          <w:szCs w:val="30"/>
        </w:rPr>
      </w:pPr>
      <w:r w:rsidRPr="00FD0B37">
        <w:rPr>
          <w:sz w:val="30"/>
          <w:szCs w:val="30"/>
        </w:rPr>
        <w:t xml:space="preserve">За підсумками </w:t>
      </w:r>
      <w:r>
        <w:rPr>
          <w:sz w:val="30"/>
          <w:szCs w:val="30"/>
        </w:rPr>
        <w:t xml:space="preserve">І кварталу </w:t>
      </w:r>
      <w:r w:rsidRPr="00FD0B37">
        <w:rPr>
          <w:sz w:val="30"/>
          <w:szCs w:val="30"/>
        </w:rPr>
        <w:t>202</w:t>
      </w:r>
      <w:r>
        <w:rPr>
          <w:sz w:val="30"/>
          <w:szCs w:val="30"/>
        </w:rPr>
        <w:t>2</w:t>
      </w:r>
      <w:r w:rsidRPr="00FD0B37">
        <w:rPr>
          <w:sz w:val="30"/>
          <w:szCs w:val="30"/>
        </w:rPr>
        <w:t xml:space="preserve"> року дохідна частина бюджету </w:t>
      </w:r>
      <w:r w:rsidR="00E73C0C">
        <w:rPr>
          <w:sz w:val="30"/>
          <w:szCs w:val="30"/>
        </w:rPr>
        <w:t>М</w:t>
      </w:r>
      <w:r w:rsidRPr="00FD0B37">
        <w:rPr>
          <w:sz w:val="30"/>
          <w:szCs w:val="30"/>
        </w:rPr>
        <w:t xml:space="preserve">укачівської міської територіальної громади склала в сумі </w:t>
      </w:r>
      <w:r>
        <w:rPr>
          <w:color w:val="000000"/>
          <w:sz w:val="28"/>
          <w:szCs w:val="28"/>
        </w:rPr>
        <w:t>300 488,5</w:t>
      </w:r>
      <w:r w:rsidRPr="00D12FC9">
        <w:rPr>
          <w:color w:val="000000"/>
          <w:sz w:val="28"/>
          <w:szCs w:val="28"/>
        </w:rPr>
        <w:t xml:space="preserve"> </w:t>
      </w:r>
      <w:r w:rsidRPr="00FD0B37">
        <w:rPr>
          <w:sz w:val="30"/>
          <w:szCs w:val="30"/>
        </w:rPr>
        <w:t xml:space="preserve">тис. грн., а саме  за питомою вагою:  </w:t>
      </w:r>
    </w:p>
    <w:p w14:paraId="60E6321F" w14:textId="77777777" w:rsidR="00CA14A2" w:rsidRPr="003E7AD0" w:rsidRDefault="00CA14A2" w:rsidP="00CA14A2">
      <w:pPr>
        <w:pStyle w:val="a0"/>
        <w:widowControl/>
        <w:numPr>
          <w:ilvl w:val="0"/>
          <w:numId w:val="5"/>
        </w:numPr>
        <w:tabs>
          <w:tab w:val="left" w:pos="0"/>
        </w:tabs>
        <w:spacing w:after="0" w:line="240" w:lineRule="auto"/>
        <w:jc w:val="both"/>
        <w:rPr>
          <w:sz w:val="28"/>
          <w:szCs w:val="28"/>
        </w:rPr>
      </w:pPr>
      <w:r w:rsidRPr="003E7AD0">
        <w:rPr>
          <w:sz w:val="28"/>
          <w:szCs w:val="28"/>
        </w:rPr>
        <w:t>7</w:t>
      </w:r>
      <w:r>
        <w:rPr>
          <w:sz w:val="28"/>
          <w:szCs w:val="28"/>
        </w:rPr>
        <w:t>7,2</w:t>
      </w:r>
      <w:r w:rsidRPr="003E7AD0">
        <w:rPr>
          <w:sz w:val="28"/>
          <w:szCs w:val="28"/>
        </w:rPr>
        <w:t xml:space="preserve">% - податки, збори та інші платежі в обсязі </w:t>
      </w:r>
      <w:r>
        <w:rPr>
          <w:bCs/>
          <w:color w:val="000000"/>
          <w:sz w:val="28"/>
          <w:szCs w:val="28"/>
          <w:lang w:eastAsia="uk-UA"/>
        </w:rPr>
        <w:t>232 034,7</w:t>
      </w:r>
      <w:r w:rsidRPr="003E7AD0">
        <w:rPr>
          <w:bCs/>
          <w:color w:val="000000"/>
          <w:sz w:val="28"/>
          <w:szCs w:val="28"/>
          <w:lang w:eastAsia="uk-UA"/>
        </w:rPr>
        <w:t xml:space="preserve"> </w:t>
      </w:r>
      <w:r w:rsidRPr="003E7AD0">
        <w:rPr>
          <w:sz w:val="28"/>
          <w:szCs w:val="28"/>
        </w:rPr>
        <w:t xml:space="preserve">тис. грн., з них: </w:t>
      </w:r>
    </w:p>
    <w:p w14:paraId="7A1DB4B6" w14:textId="77777777" w:rsidR="00CA14A2" w:rsidRPr="003E7AD0" w:rsidRDefault="00CA14A2" w:rsidP="00CA14A2">
      <w:pPr>
        <w:pStyle w:val="a0"/>
        <w:widowControl/>
        <w:numPr>
          <w:ilvl w:val="0"/>
          <w:numId w:val="6"/>
        </w:numPr>
        <w:tabs>
          <w:tab w:val="left" w:pos="0"/>
        </w:tabs>
        <w:spacing w:after="0" w:line="240" w:lineRule="auto"/>
        <w:jc w:val="both"/>
        <w:rPr>
          <w:sz w:val="28"/>
          <w:szCs w:val="28"/>
        </w:rPr>
      </w:pPr>
      <w:r w:rsidRPr="003E7AD0">
        <w:rPr>
          <w:sz w:val="28"/>
          <w:szCs w:val="28"/>
        </w:rPr>
        <w:t xml:space="preserve">загальний фонд – </w:t>
      </w:r>
      <w:r>
        <w:rPr>
          <w:color w:val="000000"/>
          <w:sz w:val="28"/>
          <w:szCs w:val="28"/>
          <w:lang w:eastAsia="uk-UA"/>
        </w:rPr>
        <w:t>218 461,7</w:t>
      </w:r>
      <w:r w:rsidRPr="003E7AD0">
        <w:rPr>
          <w:color w:val="000000"/>
          <w:sz w:val="28"/>
          <w:szCs w:val="28"/>
          <w:lang w:eastAsia="uk-UA"/>
        </w:rPr>
        <w:t xml:space="preserve"> </w:t>
      </w:r>
      <w:r w:rsidRPr="003E7AD0">
        <w:rPr>
          <w:sz w:val="28"/>
          <w:szCs w:val="28"/>
        </w:rPr>
        <w:t xml:space="preserve">тис. грн., </w:t>
      </w:r>
      <w:r>
        <w:rPr>
          <w:sz w:val="28"/>
          <w:szCs w:val="28"/>
        </w:rPr>
        <w:t xml:space="preserve">94,2 </w:t>
      </w:r>
      <w:r w:rsidRPr="003E7AD0">
        <w:rPr>
          <w:sz w:val="28"/>
          <w:szCs w:val="28"/>
        </w:rPr>
        <w:t>%;</w:t>
      </w:r>
    </w:p>
    <w:p w14:paraId="60AAA812" w14:textId="77777777" w:rsidR="00CA14A2" w:rsidRPr="003E7AD0" w:rsidRDefault="00CA14A2" w:rsidP="00CA14A2">
      <w:pPr>
        <w:pStyle w:val="a0"/>
        <w:widowControl/>
        <w:numPr>
          <w:ilvl w:val="0"/>
          <w:numId w:val="6"/>
        </w:numPr>
        <w:tabs>
          <w:tab w:val="left" w:pos="0"/>
        </w:tabs>
        <w:spacing w:after="0" w:line="240" w:lineRule="auto"/>
        <w:jc w:val="both"/>
        <w:rPr>
          <w:sz w:val="28"/>
          <w:szCs w:val="28"/>
        </w:rPr>
      </w:pPr>
      <w:r w:rsidRPr="003E7AD0">
        <w:rPr>
          <w:sz w:val="28"/>
          <w:szCs w:val="28"/>
        </w:rPr>
        <w:t xml:space="preserve">спеціальний фонд –  </w:t>
      </w:r>
      <w:r>
        <w:rPr>
          <w:color w:val="000000"/>
          <w:sz w:val="28"/>
          <w:szCs w:val="28"/>
          <w:lang w:eastAsia="uk-UA"/>
        </w:rPr>
        <w:t xml:space="preserve">13 573,0 </w:t>
      </w:r>
      <w:r w:rsidRPr="003E7AD0">
        <w:rPr>
          <w:sz w:val="28"/>
          <w:szCs w:val="28"/>
        </w:rPr>
        <w:t>тис. грн.</w:t>
      </w:r>
      <w:r>
        <w:rPr>
          <w:sz w:val="28"/>
          <w:szCs w:val="28"/>
        </w:rPr>
        <w:t xml:space="preserve"> 5,8</w:t>
      </w:r>
      <w:r w:rsidRPr="003E7AD0">
        <w:rPr>
          <w:sz w:val="28"/>
          <w:szCs w:val="28"/>
        </w:rPr>
        <w:t xml:space="preserve"> %</w:t>
      </w:r>
      <w:r>
        <w:rPr>
          <w:sz w:val="28"/>
          <w:szCs w:val="28"/>
        </w:rPr>
        <w:t>;</w:t>
      </w:r>
    </w:p>
    <w:p w14:paraId="0DFEA16B" w14:textId="77777777" w:rsidR="00CA14A2" w:rsidRPr="003E7AD0" w:rsidRDefault="00CA14A2" w:rsidP="00CA14A2">
      <w:pPr>
        <w:pStyle w:val="a0"/>
        <w:widowControl/>
        <w:numPr>
          <w:ilvl w:val="0"/>
          <w:numId w:val="5"/>
        </w:numPr>
        <w:tabs>
          <w:tab w:val="left" w:pos="0"/>
        </w:tabs>
        <w:spacing w:after="0" w:line="240" w:lineRule="auto"/>
        <w:jc w:val="both"/>
        <w:rPr>
          <w:sz w:val="28"/>
          <w:szCs w:val="28"/>
        </w:rPr>
      </w:pPr>
      <w:r>
        <w:rPr>
          <w:sz w:val="28"/>
          <w:szCs w:val="28"/>
        </w:rPr>
        <w:t>22,8</w:t>
      </w:r>
      <w:r w:rsidRPr="003E7AD0">
        <w:rPr>
          <w:sz w:val="28"/>
          <w:szCs w:val="28"/>
        </w:rPr>
        <w:t xml:space="preserve">%  - офіційні трансферти в сумі </w:t>
      </w:r>
      <w:r>
        <w:rPr>
          <w:sz w:val="28"/>
          <w:szCs w:val="28"/>
        </w:rPr>
        <w:t>68 453,8</w:t>
      </w:r>
      <w:r w:rsidRPr="003E7AD0">
        <w:rPr>
          <w:sz w:val="28"/>
          <w:szCs w:val="28"/>
        </w:rPr>
        <w:t xml:space="preserve"> тис. грн.</w:t>
      </w:r>
    </w:p>
    <w:p w14:paraId="1F13BEDF" w14:textId="0CB76394" w:rsidR="00CA14A2" w:rsidRDefault="00CA14A2" w:rsidP="00CA14A2">
      <w:pPr>
        <w:jc w:val="both"/>
        <w:textAlignment w:val="baseline"/>
        <w:rPr>
          <w:rFonts w:ascii="Times New Roman" w:hAnsi="Times New Roman"/>
          <w:sz w:val="28"/>
          <w:szCs w:val="28"/>
          <w:lang w:val="uk-UA"/>
        </w:rPr>
      </w:pPr>
      <w:r w:rsidRPr="006F42D9">
        <w:rPr>
          <w:noProof/>
          <w:lang w:val="uk-UA" w:eastAsia="uk-UA"/>
        </w:rPr>
        <w:lastRenderedPageBreak/>
        <w:drawing>
          <wp:inline distT="0" distB="0" distL="0" distR="0" wp14:anchorId="65B8726A" wp14:editId="5226C816">
            <wp:extent cx="6191250" cy="442912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bookmarkEnd w:id="1"/>
    <w:p w14:paraId="4FF3AB88" w14:textId="77777777" w:rsidR="003467C8" w:rsidRPr="00FF0023" w:rsidRDefault="003467C8" w:rsidP="003467C8">
      <w:pPr>
        <w:pStyle w:val="a0"/>
        <w:tabs>
          <w:tab w:val="left" w:pos="709"/>
          <w:tab w:val="left" w:pos="9900"/>
        </w:tabs>
        <w:jc w:val="center"/>
        <w:rPr>
          <w:rFonts w:ascii="Times New Roman" w:hAnsi="Times New Roman" w:cs="Times New Roman"/>
          <w:b/>
          <w:sz w:val="28"/>
          <w:szCs w:val="28"/>
        </w:rPr>
      </w:pPr>
      <w:r w:rsidRPr="00FF0023">
        <w:rPr>
          <w:rFonts w:ascii="Times New Roman" w:hAnsi="Times New Roman" w:cs="Times New Roman"/>
          <w:b/>
          <w:sz w:val="28"/>
          <w:szCs w:val="28"/>
        </w:rPr>
        <w:t>Доходи загального фонду  бюджету Мукачівської міської територіальної громади</w:t>
      </w:r>
    </w:p>
    <w:p w14:paraId="764EAED1" w14:textId="77777777" w:rsidR="000E7DDD" w:rsidRDefault="000E7DDD" w:rsidP="000E7DDD">
      <w:pPr>
        <w:ind w:firstLine="709"/>
        <w:jc w:val="both"/>
        <w:rPr>
          <w:rFonts w:ascii="Times New Roman" w:hAnsi="Times New Roman"/>
          <w:bCs/>
          <w:sz w:val="28"/>
          <w:szCs w:val="28"/>
        </w:rPr>
      </w:pPr>
      <w:r w:rsidRPr="000E7DDD">
        <w:rPr>
          <w:rFonts w:ascii="Times New Roman" w:hAnsi="Times New Roman"/>
          <w:bCs/>
          <w:sz w:val="28"/>
          <w:szCs w:val="28"/>
          <w:lang w:val="uk-UA"/>
        </w:rPr>
        <w:t xml:space="preserve">За січень-березень 2022 року до загального фонду бюджету Мукачівської міської територіальної громади надійшло 218 461,7 тис. грн. податків, зборів та інших доходів, при затвердженому плані 196 629,6 тис. грн. </w:t>
      </w:r>
      <w:r w:rsidRPr="000E7DDD">
        <w:rPr>
          <w:rFonts w:ascii="Times New Roman" w:hAnsi="Times New Roman"/>
          <w:bCs/>
          <w:color w:val="000000"/>
          <w:sz w:val="28"/>
          <w:szCs w:val="28"/>
        </w:rPr>
        <w:t xml:space="preserve">Рівень виконання становить </w:t>
      </w:r>
      <w:r w:rsidRPr="000E7DDD">
        <w:rPr>
          <w:rFonts w:ascii="Times New Roman" w:hAnsi="Times New Roman"/>
          <w:bCs/>
          <w:color w:val="000000"/>
          <w:sz w:val="28"/>
          <w:szCs w:val="28"/>
          <w:lang w:val="uk-UA"/>
        </w:rPr>
        <w:t xml:space="preserve">111,1 </w:t>
      </w:r>
      <w:r w:rsidRPr="000E7DDD">
        <w:rPr>
          <w:rFonts w:ascii="Times New Roman" w:hAnsi="Times New Roman"/>
          <w:bCs/>
          <w:color w:val="000000"/>
          <w:sz w:val="28"/>
          <w:szCs w:val="28"/>
        </w:rPr>
        <w:t xml:space="preserve">відсотків. Понад план надійшло </w:t>
      </w:r>
      <w:r w:rsidRPr="000E7DDD">
        <w:rPr>
          <w:rFonts w:ascii="Times New Roman" w:hAnsi="Times New Roman"/>
          <w:bCs/>
          <w:color w:val="000000"/>
          <w:sz w:val="28"/>
          <w:szCs w:val="28"/>
          <w:lang w:val="uk-UA"/>
        </w:rPr>
        <w:t>21 832,1</w:t>
      </w:r>
      <w:r w:rsidRPr="000E7DDD">
        <w:rPr>
          <w:rFonts w:ascii="Times New Roman" w:hAnsi="Times New Roman"/>
          <w:bCs/>
          <w:color w:val="000000"/>
          <w:sz w:val="28"/>
          <w:szCs w:val="28"/>
        </w:rPr>
        <w:t xml:space="preserve"> тис. грн</w:t>
      </w:r>
      <w:r w:rsidRPr="000E7DDD">
        <w:rPr>
          <w:rFonts w:ascii="Times New Roman" w:hAnsi="Times New Roman"/>
          <w:bCs/>
          <w:sz w:val="28"/>
          <w:szCs w:val="28"/>
        </w:rPr>
        <w:t xml:space="preserve">. У порівнянні до аналогічного періоду минулого року надходження зросли на </w:t>
      </w:r>
      <w:r w:rsidRPr="000E7DDD">
        <w:rPr>
          <w:rFonts w:ascii="Times New Roman" w:hAnsi="Times New Roman"/>
          <w:bCs/>
          <w:sz w:val="28"/>
          <w:szCs w:val="28"/>
          <w:lang w:val="uk-UA"/>
        </w:rPr>
        <w:t>36 563,6</w:t>
      </w:r>
      <w:r w:rsidRPr="000E7DDD">
        <w:rPr>
          <w:rFonts w:ascii="Times New Roman" w:hAnsi="Times New Roman"/>
          <w:bCs/>
          <w:sz w:val="28"/>
          <w:szCs w:val="28"/>
        </w:rPr>
        <w:t xml:space="preserve"> тис. грн. або на </w:t>
      </w:r>
      <w:r w:rsidRPr="000E7DDD">
        <w:rPr>
          <w:rFonts w:ascii="Times New Roman" w:hAnsi="Times New Roman"/>
          <w:bCs/>
          <w:sz w:val="28"/>
          <w:szCs w:val="28"/>
          <w:lang w:val="uk-UA"/>
        </w:rPr>
        <w:t>20,1</w:t>
      </w:r>
      <w:r w:rsidRPr="000E7DDD">
        <w:rPr>
          <w:rFonts w:ascii="Times New Roman" w:hAnsi="Times New Roman"/>
          <w:bCs/>
          <w:sz w:val="28"/>
          <w:szCs w:val="28"/>
        </w:rPr>
        <w:t xml:space="preserve"> відсотк</w:t>
      </w:r>
      <w:r w:rsidRPr="000E7DDD">
        <w:rPr>
          <w:rFonts w:ascii="Times New Roman" w:hAnsi="Times New Roman"/>
          <w:bCs/>
          <w:sz w:val="28"/>
          <w:szCs w:val="28"/>
          <w:lang w:val="uk-UA"/>
        </w:rPr>
        <w:t>а</w:t>
      </w:r>
      <w:r w:rsidRPr="000E7DDD">
        <w:rPr>
          <w:rFonts w:ascii="Times New Roman" w:hAnsi="Times New Roman"/>
          <w:bCs/>
          <w:sz w:val="28"/>
          <w:szCs w:val="28"/>
        </w:rPr>
        <w:t>.</w:t>
      </w:r>
    </w:p>
    <w:p w14:paraId="1339D5C0" w14:textId="77777777" w:rsidR="003C0517" w:rsidRPr="000E7DDD" w:rsidRDefault="003C0517" w:rsidP="003C0517">
      <w:pPr>
        <w:spacing w:after="0" w:line="240" w:lineRule="auto"/>
        <w:ind w:firstLine="567"/>
        <w:jc w:val="both"/>
        <w:rPr>
          <w:rFonts w:ascii="Times New Roman" w:hAnsi="Times New Roman"/>
          <w:bCs/>
          <w:sz w:val="28"/>
          <w:szCs w:val="28"/>
        </w:rPr>
      </w:pPr>
      <w:r w:rsidRPr="000E7DDD">
        <w:rPr>
          <w:rFonts w:ascii="Times New Roman" w:hAnsi="Times New Roman"/>
          <w:bCs/>
          <w:sz w:val="28"/>
          <w:szCs w:val="28"/>
        </w:rPr>
        <w:t xml:space="preserve">Основні надходження до загального фонду бюджету </w:t>
      </w:r>
      <w:r w:rsidRPr="000E7DDD">
        <w:rPr>
          <w:rFonts w:ascii="Times New Roman" w:hAnsi="Times New Roman"/>
          <w:bCs/>
          <w:sz w:val="28"/>
          <w:szCs w:val="28"/>
          <w:lang w:val="uk-UA"/>
        </w:rPr>
        <w:t xml:space="preserve">Мукачівської міської територіальної грамади </w:t>
      </w:r>
      <w:r w:rsidRPr="000E7DDD">
        <w:rPr>
          <w:rFonts w:ascii="Times New Roman" w:hAnsi="Times New Roman"/>
          <w:bCs/>
          <w:sz w:val="28"/>
          <w:szCs w:val="28"/>
        </w:rPr>
        <w:t>забезпечують:</w:t>
      </w:r>
    </w:p>
    <w:p w14:paraId="2CC9E684" w14:textId="77777777" w:rsidR="003C0517" w:rsidRPr="000E7DDD" w:rsidRDefault="003C0517" w:rsidP="003C0517">
      <w:pPr>
        <w:numPr>
          <w:ilvl w:val="0"/>
          <w:numId w:val="3"/>
        </w:numPr>
        <w:spacing w:after="0" w:line="360" w:lineRule="auto"/>
        <w:ind w:left="0" w:firstLine="0"/>
        <w:jc w:val="both"/>
        <w:rPr>
          <w:rFonts w:ascii="Times New Roman" w:hAnsi="Times New Roman"/>
          <w:bCs/>
          <w:sz w:val="28"/>
          <w:szCs w:val="28"/>
        </w:rPr>
      </w:pPr>
      <w:r w:rsidRPr="000E7DDD">
        <w:rPr>
          <w:rFonts w:ascii="Times New Roman" w:hAnsi="Times New Roman"/>
          <w:bCs/>
          <w:sz w:val="28"/>
          <w:szCs w:val="28"/>
        </w:rPr>
        <w:t xml:space="preserve">податок на доходи фізичних осіб – </w:t>
      </w:r>
      <w:r w:rsidRPr="000E7DDD">
        <w:rPr>
          <w:rFonts w:ascii="Times New Roman" w:hAnsi="Times New Roman"/>
          <w:bCs/>
          <w:sz w:val="28"/>
          <w:szCs w:val="28"/>
          <w:lang w:val="uk-UA"/>
        </w:rPr>
        <w:t xml:space="preserve">156 919,1 </w:t>
      </w:r>
      <w:r w:rsidRPr="000E7DDD">
        <w:rPr>
          <w:rFonts w:ascii="Times New Roman" w:hAnsi="Times New Roman"/>
          <w:bCs/>
          <w:sz w:val="28"/>
          <w:szCs w:val="28"/>
        </w:rPr>
        <w:t xml:space="preserve">тис. грн. або </w:t>
      </w:r>
      <w:r w:rsidRPr="000E7DDD">
        <w:rPr>
          <w:rFonts w:ascii="Times New Roman" w:hAnsi="Times New Roman"/>
          <w:bCs/>
          <w:sz w:val="28"/>
          <w:szCs w:val="28"/>
          <w:lang w:val="uk-UA"/>
        </w:rPr>
        <w:t xml:space="preserve">71,8 </w:t>
      </w:r>
      <w:r w:rsidRPr="000E7DDD">
        <w:rPr>
          <w:rFonts w:ascii="Times New Roman" w:hAnsi="Times New Roman"/>
          <w:bCs/>
          <w:sz w:val="28"/>
          <w:szCs w:val="28"/>
        </w:rPr>
        <w:t>відс.</w:t>
      </w:r>
      <w:r w:rsidRPr="000E7DDD">
        <w:rPr>
          <w:rFonts w:ascii="Times New Roman" w:hAnsi="Times New Roman"/>
          <w:bCs/>
          <w:sz w:val="28"/>
          <w:szCs w:val="28"/>
          <w:lang w:val="uk-UA"/>
        </w:rPr>
        <w:t>;</w:t>
      </w:r>
    </w:p>
    <w:p w14:paraId="589D1F88" w14:textId="77777777" w:rsidR="003C0517" w:rsidRPr="000E7DDD" w:rsidRDefault="003C0517" w:rsidP="003C0517">
      <w:pPr>
        <w:numPr>
          <w:ilvl w:val="0"/>
          <w:numId w:val="3"/>
        </w:numPr>
        <w:spacing w:after="0" w:line="360" w:lineRule="auto"/>
        <w:ind w:left="0" w:firstLine="0"/>
        <w:jc w:val="both"/>
        <w:rPr>
          <w:rFonts w:ascii="Times New Roman" w:hAnsi="Times New Roman"/>
          <w:bCs/>
          <w:sz w:val="28"/>
          <w:szCs w:val="28"/>
        </w:rPr>
      </w:pPr>
      <w:r w:rsidRPr="000E7DDD">
        <w:rPr>
          <w:rFonts w:ascii="Times New Roman" w:hAnsi="Times New Roman"/>
          <w:bCs/>
          <w:sz w:val="28"/>
          <w:szCs w:val="28"/>
          <w:lang w:val="uk-UA"/>
        </w:rPr>
        <w:t>м</w:t>
      </w:r>
      <w:r w:rsidRPr="000E7DDD">
        <w:rPr>
          <w:rFonts w:ascii="Times New Roman" w:hAnsi="Times New Roman"/>
          <w:bCs/>
          <w:sz w:val="28"/>
          <w:szCs w:val="28"/>
        </w:rPr>
        <w:t>ісцеві податки та збори, що сплачуються (перераховуються) згідно з Податковим кодексом України</w:t>
      </w:r>
      <w:r w:rsidRPr="000E7DDD">
        <w:rPr>
          <w:rFonts w:ascii="Times New Roman" w:hAnsi="Times New Roman"/>
          <w:bCs/>
          <w:sz w:val="28"/>
          <w:szCs w:val="28"/>
          <w:lang w:val="uk-UA"/>
        </w:rPr>
        <w:t xml:space="preserve"> </w:t>
      </w:r>
      <w:r w:rsidRPr="000E7DDD">
        <w:rPr>
          <w:rFonts w:ascii="Times New Roman" w:hAnsi="Times New Roman"/>
          <w:bCs/>
          <w:sz w:val="28"/>
          <w:szCs w:val="28"/>
        </w:rPr>
        <w:t xml:space="preserve">– </w:t>
      </w:r>
      <w:r w:rsidRPr="000E7DDD">
        <w:rPr>
          <w:rFonts w:ascii="Times New Roman" w:hAnsi="Times New Roman"/>
          <w:bCs/>
          <w:sz w:val="28"/>
          <w:szCs w:val="28"/>
          <w:lang w:val="uk-UA"/>
        </w:rPr>
        <w:t xml:space="preserve">46 564,9 </w:t>
      </w:r>
      <w:r w:rsidRPr="000E7DDD">
        <w:rPr>
          <w:rFonts w:ascii="Times New Roman" w:hAnsi="Times New Roman"/>
          <w:bCs/>
          <w:sz w:val="28"/>
          <w:szCs w:val="28"/>
        </w:rPr>
        <w:t xml:space="preserve">тис. грн. або </w:t>
      </w:r>
      <w:r w:rsidRPr="000E7DDD">
        <w:rPr>
          <w:rFonts w:ascii="Times New Roman" w:hAnsi="Times New Roman"/>
          <w:bCs/>
          <w:sz w:val="28"/>
          <w:szCs w:val="28"/>
          <w:lang w:val="uk-UA"/>
        </w:rPr>
        <w:t xml:space="preserve">21,3 </w:t>
      </w:r>
      <w:r w:rsidRPr="000E7DDD">
        <w:rPr>
          <w:rFonts w:ascii="Times New Roman" w:hAnsi="Times New Roman"/>
          <w:bCs/>
          <w:sz w:val="28"/>
          <w:szCs w:val="28"/>
        </w:rPr>
        <w:t>відс.</w:t>
      </w:r>
      <w:r w:rsidRPr="000E7DDD">
        <w:rPr>
          <w:rFonts w:ascii="Times New Roman" w:hAnsi="Times New Roman"/>
          <w:bCs/>
          <w:sz w:val="28"/>
          <w:szCs w:val="28"/>
          <w:lang w:val="uk-UA"/>
        </w:rPr>
        <w:t>;</w:t>
      </w:r>
    </w:p>
    <w:p w14:paraId="1ECF8C7C" w14:textId="77777777" w:rsidR="003C0517" w:rsidRPr="000E7DDD" w:rsidRDefault="003C0517" w:rsidP="003C0517">
      <w:pPr>
        <w:numPr>
          <w:ilvl w:val="0"/>
          <w:numId w:val="3"/>
        </w:numPr>
        <w:spacing w:after="0" w:line="360" w:lineRule="auto"/>
        <w:ind w:left="0" w:firstLine="0"/>
        <w:jc w:val="both"/>
        <w:rPr>
          <w:rFonts w:ascii="Times New Roman" w:hAnsi="Times New Roman"/>
          <w:bCs/>
          <w:sz w:val="28"/>
          <w:szCs w:val="28"/>
          <w:lang w:val="uk-UA"/>
        </w:rPr>
      </w:pPr>
      <w:r w:rsidRPr="000E7DDD">
        <w:rPr>
          <w:rFonts w:ascii="Times New Roman" w:hAnsi="Times New Roman"/>
          <w:bCs/>
          <w:sz w:val="28"/>
          <w:szCs w:val="28"/>
          <w:lang w:val="uk-UA"/>
        </w:rPr>
        <w:t>акцизний податок з реалізації суб’єктами господарювання роздрібної торгівлі підакцизних товарів – 6 982,0 тис. грн. або 3,2 відс.;</w:t>
      </w:r>
    </w:p>
    <w:p w14:paraId="1B4D2FFD" w14:textId="77777777" w:rsidR="003C0517" w:rsidRPr="000E7DDD" w:rsidRDefault="003C0517" w:rsidP="003C0517">
      <w:pPr>
        <w:numPr>
          <w:ilvl w:val="0"/>
          <w:numId w:val="3"/>
        </w:numPr>
        <w:spacing w:after="0" w:line="360" w:lineRule="auto"/>
        <w:ind w:left="0" w:firstLine="0"/>
        <w:jc w:val="both"/>
        <w:rPr>
          <w:rFonts w:ascii="Times New Roman" w:hAnsi="Times New Roman"/>
          <w:bCs/>
          <w:sz w:val="28"/>
          <w:szCs w:val="28"/>
          <w:lang w:val="uk-UA"/>
        </w:rPr>
      </w:pPr>
      <w:r w:rsidRPr="000E7DDD">
        <w:rPr>
          <w:rFonts w:ascii="Times New Roman" w:hAnsi="Times New Roman"/>
          <w:bCs/>
          <w:sz w:val="28"/>
          <w:szCs w:val="28"/>
        </w:rPr>
        <w:lastRenderedPageBreak/>
        <w:t>акцизний податок з виробленого в Україні та ввезеного на митну територію України пального</w:t>
      </w:r>
      <w:r w:rsidRPr="000E7DDD">
        <w:rPr>
          <w:rFonts w:ascii="Times New Roman" w:hAnsi="Times New Roman"/>
          <w:bCs/>
          <w:sz w:val="28"/>
          <w:szCs w:val="28"/>
          <w:lang w:val="uk-UA"/>
        </w:rPr>
        <w:t xml:space="preserve"> – 3 916,4 тис. грн. або 1,8 відс.</w:t>
      </w:r>
    </w:p>
    <w:p w14:paraId="7B36C690" w14:textId="77777777" w:rsidR="003C0517" w:rsidRPr="000E7DDD" w:rsidRDefault="003C0517" w:rsidP="003C0517">
      <w:pPr>
        <w:spacing w:after="0" w:line="240" w:lineRule="auto"/>
        <w:ind w:firstLine="567"/>
        <w:jc w:val="both"/>
        <w:rPr>
          <w:rFonts w:ascii="Times New Roman" w:hAnsi="Times New Roman"/>
          <w:bCs/>
          <w:sz w:val="28"/>
          <w:szCs w:val="28"/>
        </w:rPr>
      </w:pPr>
      <w:r w:rsidRPr="000E7DDD">
        <w:rPr>
          <w:rFonts w:ascii="Times New Roman" w:hAnsi="Times New Roman"/>
          <w:bCs/>
          <w:sz w:val="28"/>
          <w:szCs w:val="28"/>
        </w:rPr>
        <w:t>Найбільші темпи приросту доходів загального фонду</w:t>
      </w:r>
      <w:r w:rsidRPr="000E7DDD">
        <w:rPr>
          <w:rFonts w:ascii="Times New Roman" w:hAnsi="Times New Roman"/>
          <w:bCs/>
          <w:sz w:val="28"/>
          <w:szCs w:val="28"/>
          <w:lang w:val="uk-UA"/>
        </w:rPr>
        <w:t xml:space="preserve"> </w:t>
      </w:r>
      <w:r w:rsidRPr="000E7DDD">
        <w:rPr>
          <w:rFonts w:ascii="Times New Roman" w:hAnsi="Times New Roman"/>
          <w:bCs/>
          <w:sz w:val="28"/>
          <w:szCs w:val="28"/>
        </w:rPr>
        <w:t>(без врахування трансфертів</w:t>
      </w:r>
      <w:r w:rsidRPr="000E7DDD">
        <w:rPr>
          <w:rFonts w:ascii="Times New Roman" w:hAnsi="Times New Roman"/>
          <w:bCs/>
          <w:sz w:val="28"/>
          <w:szCs w:val="28"/>
          <w:lang w:val="uk-UA"/>
        </w:rPr>
        <w:t>)</w:t>
      </w:r>
      <w:r w:rsidRPr="000E7DDD">
        <w:rPr>
          <w:rFonts w:ascii="Times New Roman" w:hAnsi="Times New Roman"/>
          <w:bCs/>
          <w:sz w:val="28"/>
          <w:szCs w:val="28"/>
        </w:rPr>
        <w:t xml:space="preserve"> </w:t>
      </w:r>
      <w:r w:rsidRPr="000E7DDD">
        <w:rPr>
          <w:rFonts w:ascii="Times New Roman" w:hAnsi="Times New Roman"/>
          <w:bCs/>
          <w:sz w:val="28"/>
          <w:szCs w:val="28"/>
          <w:lang w:val="uk-UA"/>
        </w:rPr>
        <w:t>в порівнянні до аналогічного періоду минулого року</w:t>
      </w:r>
      <w:r w:rsidRPr="000E7DDD">
        <w:rPr>
          <w:rFonts w:ascii="Times New Roman" w:hAnsi="Times New Roman"/>
          <w:bCs/>
          <w:sz w:val="28"/>
          <w:szCs w:val="28"/>
        </w:rPr>
        <w:t xml:space="preserve"> відбулися за рахунок:</w:t>
      </w:r>
    </w:p>
    <w:p w14:paraId="7F6C715A" w14:textId="77777777" w:rsidR="003C0517" w:rsidRPr="000E7DDD" w:rsidRDefault="003C0517" w:rsidP="003C0517">
      <w:pPr>
        <w:spacing w:after="0" w:line="240" w:lineRule="auto"/>
        <w:ind w:firstLine="567"/>
        <w:jc w:val="both"/>
        <w:rPr>
          <w:rFonts w:ascii="Times New Roman" w:hAnsi="Times New Roman"/>
          <w:bCs/>
          <w:sz w:val="28"/>
          <w:szCs w:val="28"/>
        </w:rPr>
      </w:pPr>
      <w:r w:rsidRPr="000E7DDD">
        <w:rPr>
          <w:rFonts w:ascii="Times New Roman" w:hAnsi="Times New Roman"/>
          <w:bCs/>
          <w:sz w:val="28"/>
          <w:szCs w:val="28"/>
        </w:rPr>
        <w:t xml:space="preserve">- податку на доходи фізичних осіб на </w:t>
      </w:r>
      <w:r w:rsidRPr="000E7DDD">
        <w:rPr>
          <w:rFonts w:ascii="Times New Roman" w:hAnsi="Times New Roman"/>
          <w:bCs/>
          <w:sz w:val="28"/>
          <w:szCs w:val="28"/>
          <w:lang w:val="uk-UA"/>
        </w:rPr>
        <w:t>37 401,6</w:t>
      </w:r>
      <w:r w:rsidRPr="000E7DDD">
        <w:rPr>
          <w:rFonts w:ascii="Times New Roman" w:hAnsi="Times New Roman"/>
          <w:bCs/>
          <w:sz w:val="28"/>
          <w:szCs w:val="28"/>
        </w:rPr>
        <w:t xml:space="preserve"> тис. грн. (+</w:t>
      </w:r>
      <w:r w:rsidRPr="000E7DDD">
        <w:rPr>
          <w:rFonts w:ascii="Times New Roman" w:hAnsi="Times New Roman"/>
          <w:bCs/>
          <w:sz w:val="28"/>
          <w:szCs w:val="28"/>
          <w:lang w:val="uk-UA"/>
        </w:rPr>
        <w:t>31,3</w:t>
      </w:r>
      <w:r w:rsidRPr="000E7DDD">
        <w:rPr>
          <w:rFonts w:ascii="Times New Roman" w:hAnsi="Times New Roman"/>
          <w:bCs/>
          <w:sz w:val="28"/>
          <w:szCs w:val="28"/>
        </w:rPr>
        <w:t>%);</w:t>
      </w:r>
    </w:p>
    <w:p w14:paraId="7E459163" w14:textId="77777777" w:rsidR="003C0517" w:rsidRPr="000E7DDD" w:rsidRDefault="003C0517" w:rsidP="003C0517">
      <w:pPr>
        <w:spacing w:after="0" w:line="240" w:lineRule="auto"/>
        <w:ind w:firstLine="567"/>
        <w:jc w:val="both"/>
        <w:rPr>
          <w:rFonts w:ascii="Times New Roman" w:hAnsi="Times New Roman"/>
          <w:bCs/>
          <w:sz w:val="28"/>
          <w:szCs w:val="28"/>
        </w:rPr>
      </w:pPr>
      <w:r w:rsidRPr="000E7DDD">
        <w:rPr>
          <w:rFonts w:ascii="Times New Roman" w:hAnsi="Times New Roman"/>
          <w:bCs/>
          <w:sz w:val="28"/>
          <w:szCs w:val="28"/>
        </w:rPr>
        <w:t xml:space="preserve">- </w:t>
      </w:r>
      <w:r w:rsidRPr="000E7DDD">
        <w:rPr>
          <w:rFonts w:ascii="Times New Roman" w:hAnsi="Times New Roman"/>
          <w:bCs/>
          <w:sz w:val="28"/>
          <w:szCs w:val="28"/>
          <w:lang w:val="uk-UA"/>
        </w:rPr>
        <w:t xml:space="preserve"> </w:t>
      </w:r>
      <w:r w:rsidRPr="000E7DDD">
        <w:rPr>
          <w:rFonts w:ascii="Times New Roman" w:hAnsi="Times New Roman"/>
          <w:bCs/>
          <w:sz w:val="28"/>
          <w:szCs w:val="28"/>
        </w:rPr>
        <w:t xml:space="preserve">єдиного податку на </w:t>
      </w:r>
      <w:r w:rsidRPr="000E7DDD">
        <w:rPr>
          <w:rFonts w:ascii="Times New Roman" w:hAnsi="Times New Roman"/>
          <w:bCs/>
          <w:sz w:val="28"/>
          <w:szCs w:val="28"/>
          <w:lang w:val="uk-UA"/>
        </w:rPr>
        <w:t xml:space="preserve">4 705,0 </w:t>
      </w:r>
      <w:r w:rsidRPr="000E7DDD">
        <w:rPr>
          <w:rFonts w:ascii="Times New Roman" w:hAnsi="Times New Roman"/>
          <w:bCs/>
          <w:sz w:val="28"/>
          <w:szCs w:val="28"/>
        </w:rPr>
        <w:t>тис.</w:t>
      </w:r>
      <w:r w:rsidRPr="000E7DDD">
        <w:rPr>
          <w:rFonts w:ascii="Times New Roman" w:hAnsi="Times New Roman"/>
          <w:bCs/>
          <w:sz w:val="28"/>
          <w:szCs w:val="28"/>
          <w:lang w:val="uk-UA"/>
        </w:rPr>
        <w:t xml:space="preserve"> </w:t>
      </w:r>
      <w:r w:rsidRPr="000E7DDD">
        <w:rPr>
          <w:rFonts w:ascii="Times New Roman" w:hAnsi="Times New Roman"/>
          <w:bCs/>
          <w:sz w:val="28"/>
          <w:szCs w:val="28"/>
        </w:rPr>
        <w:t>грн. (+</w:t>
      </w:r>
      <w:r w:rsidRPr="000E7DDD">
        <w:rPr>
          <w:rFonts w:ascii="Times New Roman" w:hAnsi="Times New Roman"/>
          <w:bCs/>
          <w:sz w:val="28"/>
          <w:szCs w:val="28"/>
          <w:lang w:val="uk-UA"/>
        </w:rPr>
        <w:t>17,4</w:t>
      </w:r>
      <w:r w:rsidRPr="000E7DDD">
        <w:rPr>
          <w:rFonts w:ascii="Times New Roman" w:hAnsi="Times New Roman"/>
          <w:bCs/>
          <w:sz w:val="28"/>
          <w:szCs w:val="28"/>
        </w:rPr>
        <w:t>%);</w:t>
      </w:r>
    </w:p>
    <w:p w14:paraId="4DE7815E" w14:textId="77777777" w:rsidR="003C0517" w:rsidRPr="000E7DDD" w:rsidRDefault="003C0517" w:rsidP="003C0517">
      <w:pPr>
        <w:spacing w:after="0" w:line="240" w:lineRule="auto"/>
        <w:ind w:firstLine="567"/>
        <w:jc w:val="both"/>
        <w:rPr>
          <w:rFonts w:ascii="Times New Roman" w:hAnsi="Times New Roman"/>
          <w:bCs/>
          <w:sz w:val="28"/>
          <w:szCs w:val="28"/>
          <w:lang w:val="uk-UA"/>
        </w:rPr>
      </w:pPr>
      <w:r w:rsidRPr="000E7DDD">
        <w:rPr>
          <w:rFonts w:ascii="Times New Roman" w:hAnsi="Times New Roman"/>
          <w:bCs/>
          <w:sz w:val="28"/>
          <w:szCs w:val="28"/>
          <w:lang w:val="uk-UA"/>
        </w:rPr>
        <w:t xml:space="preserve">- </w:t>
      </w:r>
      <w:r w:rsidRPr="000E7DDD">
        <w:rPr>
          <w:rFonts w:ascii="Times New Roman" w:hAnsi="Times New Roman"/>
          <w:bCs/>
          <w:sz w:val="28"/>
          <w:szCs w:val="28"/>
        </w:rPr>
        <w:t xml:space="preserve">податку на нерухоме майно, відмінне від земельної ділянки на </w:t>
      </w:r>
      <w:r w:rsidRPr="000E7DDD">
        <w:rPr>
          <w:rFonts w:ascii="Times New Roman" w:hAnsi="Times New Roman"/>
          <w:bCs/>
          <w:sz w:val="28"/>
          <w:szCs w:val="28"/>
          <w:lang w:val="uk-UA"/>
        </w:rPr>
        <w:t>346,8</w:t>
      </w:r>
      <w:r w:rsidRPr="000E7DDD">
        <w:rPr>
          <w:rFonts w:ascii="Times New Roman" w:hAnsi="Times New Roman"/>
          <w:bCs/>
          <w:sz w:val="28"/>
          <w:szCs w:val="28"/>
        </w:rPr>
        <w:t xml:space="preserve"> тис.</w:t>
      </w:r>
      <w:r w:rsidRPr="000E7DDD">
        <w:rPr>
          <w:rFonts w:ascii="Times New Roman" w:hAnsi="Times New Roman"/>
          <w:bCs/>
          <w:sz w:val="28"/>
          <w:szCs w:val="28"/>
          <w:lang w:val="uk-UA"/>
        </w:rPr>
        <w:t xml:space="preserve"> </w:t>
      </w:r>
      <w:r w:rsidRPr="000E7DDD">
        <w:rPr>
          <w:rFonts w:ascii="Times New Roman" w:hAnsi="Times New Roman"/>
          <w:bCs/>
          <w:sz w:val="28"/>
          <w:szCs w:val="28"/>
        </w:rPr>
        <w:t>грн. (+</w:t>
      </w:r>
      <w:r w:rsidRPr="000E7DDD">
        <w:rPr>
          <w:rFonts w:ascii="Times New Roman" w:hAnsi="Times New Roman"/>
          <w:bCs/>
          <w:sz w:val="28"/>
          <w:szCs w:val="28"/>
          <w:lang w:val="uk-UA"/>
        </w:rPr>
        <w:t>21,2</w:t>
      </w:r>
      <w:r w:rsidRPr="000E7DDD">
        <w:rPr>
          <w:rFonts w:ascii="Times New Roman" w:hAnsi="Times New Roman"/>
          <w:bCs/>
          <w:sz w:val="28"/>
          <w:szCs w:val="28"/>
        </w:rPr>
        <w:t>%)</w:t>
      </w:r>
      <w:r w:rsidRPr="000E7DDD">
        <w:rPr>
          <w:rFonts w:ascii="Times New Roman" w:hAnsi="Times New Roman"/>
          <w:bCs/>
          <w:sz w:val="28"/>
          <w:szCs w:val="28"/>
          <w:lang w:val="uk-UA"/>
        </w:rPr>
        <w:t>;</w:t>
      </w:r>
    </w:p>
    <w:p w14:paraId="455ADD79" w14:textId="77777777" w:rsidR="003C0517" w:rsidRPr="000E7DDD" w:rsidRDefault="003C0517" w:rsidP="003C0517">
      <w:pPr>
        <w:spacing w:after="0" w:line="240" w:lineRule="auto"/>
        <w:ind w:firstLine="567"/>
        <w:jc w:val="both"/>
        <w:rPr>
          <w:rFonts w:ascii="Times New Roman" w:hAnsi="Times New Roman"/>
          <w:bCs/>
          <w:sz w:val="28"/>
          <w:szCs w:val="28"/>
          <w:lang w:val="uk-UA"/>
        </w:rPr>
      </w:pPr>
      <w:r w:rsidRPr="000E7DDD">
        <w:rPr>
          <w:rFonts w:ascii="Times New Roman" w:hAnsi="Times New Roman"/>
          <w:bCs/>
          <w:sz w:val="28"/>
          <w:szCs w:val="28"/>
          <w:lang w:val="uk-UA"/>
        </w:rPr>
        <w:t>- туристичний збір на 153,9 тис. грн. (у 3 рази більше);</w:t>
      </w:r>
    </w:p>
    <w:p w14:paraId="49EF3B21" w14:textId="77777777" w:rsidR="003C0517" w:rsidRPr="000E7DDD" w:rsidRDefault="003C0517" w:rsidP="003C0517">
      <w:pPr>
        <w:spacing w:after="0" w:line="240" w:lineRule="auto"/>
        <w:ind w:firstLine="567"/>
        <w:jc w:val="both"/>
        <w:rPr>
          <w:rFonts w:ascii="Times New Roman" w:hAnsi="Times New Roman"/>
          <w:bCs/>
          <w:sz w:val="28"/>
          <w:szCs w:val="28"/>
          <w:lang w:val="uk-UA"/>
        </w:rPr>
      </w:pPr>
      <w:r w:rsidRPr="000E7DDD">
        <w:rPr>
          <w:rFonts w:ascii="Times New Roman" w:hAnsi="Times New Roman"/>
          <w:bCs/>
          <w:sz w:val="28"/>
          <w:szCs w:val="28"/>
          <w:lang w:val="uk-UA"/>
        </w:rPr>
        <w:t>- плата за встановлення земельного сервітуту на 116,1 тис. грн. (у 1,8 разів більше).</w:t>
      </w:r>
    </w:p>
    <w:p w14:paraId="79BC4876" w14:textId="77777777" w:rsidR="003C0517" w:rsidRPr="000E7DDD" w:rsidRDefault="003C0517" w:rsidP="003C0517">
      <w:pPr>
        <w:pStyle w:val="3"/>
        <w:numPr>
          <w:ilvl w:val="0"/>
          <w:numId w:val="0"/>
        </w:numPr>
        <w:tabs>
          <w:tab w:val="left" w:pos="567"/>
        </w:tabs>
        <w:spacing w:before="0" w:after="0"/>
        <w:jc w:val="both"/>
        <w:rPr>
          <w:rFonts w:ascii="Times New Roman" w:hAnsi="Times New Roman" w:cs="Times New Roman"/>
          <w:b w:val="0"/>
        </w:rPr>
      </w:pPr>
      <w:r w:rsidRPr="000E7DDD">
        <w:rPr>
          <w:rFonts w:ascii="Times New Roman" w:hAnsi="Times New Roman" w:cs="Times New Roman"/>
          <w:b w:val="0"/>
          <w:bCs w:val="0"/>
        </w:rPr>
        <w:tab/>
      </w:r>
      <w:r w:rsidRPr="000E7DDD">
        <w:rPr>
          <w:rFonts w:ascii="Times New Roman" w:hAnsi="Times New Roman" w:cs="Times New Roman"/>
          <w:b w:val="0"/>
        </w:rPr>
        <w:t>Ріст надходжень відбувся за рахунок:</w:t>
      </w:r>
    </w:p>
    <w:p w14:paraId="4734D126" w14:textId="77777777" w:rsidR="003C0517" w:rsidRPr="000E7DDD" w:rsidRDefault="003C0517" w:rsidP="003C0517">
      <w:pPr>
        <w:numPr>
          <w:ilvl w:val="0"/>
          <w:numId w:val="2"/>
        </w:numPr>
        <w:suppressAutoHyphens/>
        <w:spacing w:after="0" w:line="240" w:lineRule="auto"/>
        <w:ind w:left="567" w:hanging="141"/>
        <w:jc w:val="both"/>
        <w:rPr>
          <w:rFonts w:ascii="Times New Roman" w:hAnsi="Times New Roman"/>
          <w:lang w:val="uk-UA"/>
        </w:rPr>
      </w:pPr>
      <w:r w:rsidRPr="000E7DDD">
        <w:rPr>
          <w:rFonts w:ascii="Times New Roman" w:hAnsi="Times New Roman"/>
          <w:color w:val="000000"/>
          <w:sz w:val="28"/>
          <w:szCs w:val="28"/>
          <w:shd w:val="clear" w:color="auto" w:fill="FFFFFF"/>
        </w:rPr>
        <w:t>збільшення норматив</w:t>
      </w:r>
      <w:r w:rsidRPr="000E7DDD">
        <w:rPr>
          <w:rFonts w:ascii="Times New Roman" w:hAnsi="Times New Roman"/>
          <w:color w:val="000000"/>
          <w:sz w:val="28"/>
          <w:szCs w:val="28"/>
          <w:shd w:val="clear" w:color="auto" w:fill="FFFFFF"/>
          <w:lang w:val="uk-UA"/>
        </w:rPr>
        <w:t>у</w:t>
      </w:r>
      <w:r w:rsidRPr="000E7DDD">
        <w:rPr>
          <w:rFonts w:ascii="Times New Roman" w:hAnsi="Times New Roman"/>
          <w:color w:val="000000"/>
          <w:sz w:val="28"/>
          <w:szCs w:val="28"/>
          <w:shd w:val="clear" w:color="auto" w:fill="FFFFFF"/>
        </w:rPr>
        <w:t xml:space="preserve"> зарахування ПДФО до бюджетів сільських, селищних, міських територіальних громад на 4% (з 60 % на 64 %) за рахунок відповідного зменшення нормативу зарахування ПДФО до державного бюджету на підставі Закону України "Про Державний бюджет України на 2022 рік", прийнятого Верховною Радою України 02 грудня 2021 року</w:t>
      </w:r>
      <w:r w:rsidRPr="000E7DDD">
        <w:rPr>
          <w:rFonts w:ascii="Times New Roman" w:hAnsi="Times New Roman"/>
          <w:color w:val="000000"/>
          <w:sz w:val="28"/>
          <w:szCs w:val="28"/>
          <w:shd w:val="clear" w:color="auto" w:fill="FFFFFF"/>
          <w:lang w:val="uk-UA"/>
        </w:rPr>
        <w:t>;</w:t>
      </w:r>
    </w:p>
    <w:p w14:paraId="5048896D" w14:textId="77777777" w:rsidR="003C0517" w:rsidRPr="000E7DDD" w:rsidRDefault="003C0517" w:rsidP="003C0517">
      <w:pPr>
        <w:pStyle w:val="3"/>
        <w:widowControl/>
        <w:numPr>
          <w:ilvl w:val="0"/>
          <w:numId w:val="2"/>
        </w:numPr>
        <w:tabs>
          <w:tab w:val="left" w:pos="709"/>
        </w:tabs>
        <w:spacing w:before="0" w:after="0"/>
        <w:ind w:left="567" w:hanging="141"/>
        <w:jc w:val="both"/>
        <w:rPr>
          <w:rFonts w:ascii="Times New Roman" w:hAnsi="Times New Roman" w:cs="Times New Roman"/>
          <w:b w:val="0"/>
        </w:rPr>
      </w:pPr>
      <w:r w:rsidRPr="000E7DDD">
        <w:rPr>
          <w:rFonts w:ascii="Times New Roman" w:hAnsi="Times New Roman" w:cs="Times New Roman"/>
          <w:b w:val="0"/>
        </w:rPr>
        <w:t xml:space="preserve">збільшення рівня мінімальної заробітної плати, прожиткового мінімуму для працездатних осіб та посадового окладу працівника І тарифного розряду ЄТС;  </w:t>
      </w:r>
    </w:p>
    <w:p w14:paraId="09CD06A6" w14:textId="77777777" w:rsidR="003C0517" w:rsidRPr="000E7DDD" w:rsidRDefault="003C0517" w:rsidP="003C0517">
      <w:pPr>
        <w:pStyle w:val="ae"/>
        <w:numPr>
          <w:ilvl w:val="0"/>
          <w:numId w:val="2"/>
        </w:numPr>
        <w:spacing w:before="0" w:after="0"/>
        <w:ind w:left="567" w:hanging="141"/>
        <w:rPr>
          <w:bCs/>
          <w:color w:val="000000"/>
          <w:sz w:val="28"/>
          <w:szCs w:val="28"/>
        </w:rPr>
      </w:pPr>
      <w:r w:rsidRPr="000E7DDD">
        <w:rPr>
          <w:sz w:val="28"/>
          <w:szCs w:val="28"/>
        </w:rPr>
        <w:t xml:space="preserve">введення в дію з 01.01.2022 р. оновлених ставок по місцевих податках та зборах, </w:t>
      </w:r>
      <w:r w:rsidRPr="000E7DDD">
        <w:rPr>
          <w:color w:val="000000"/>
          <w:sz w:val="28"/>
          <w:szCs w:val="28"/>
        </w:rPr>
        <w:t>що сплачуються (перераховуються) згідно з Податковим кодексом України;</w:t>
      </w:r>
    </w:p>
    <w:p w14:paraId="1984BEF0" w14:textId="77777777" w:rsidR="003C0517" w:rsidRPr="000E7DDD" w:rsidRDefault="003C0517" w:rsidP="003C0517">
      <w:pPr>
        <w:pStyle w:val="ae"/>
        <w:numPr>
          <w:ilvl w:val="0"/>
          <w:numId w:val="2"/>
        </w:numPr>
        <w:spacing w:before="0" w:after="0"/>
        <w:ind w:left="567" w:hanging="141"/>
        <w:rPr>
          <w:bCs/>
          <w:color w:val="000000"/>
          <w:sz w:val="28"/>
          <w:szCs w:val="28"/>
        </w:rPr>
      </w:pPr>
      <w:r w:rsidRPr="000E7DDD">
        <w:rPr>
          <w:color w:val="000000"/>
          <w:sz w:val="28"/>
          <w:szCs w:val="28"/>
          <w:shd w:val="clear" w:color="auto" w:fill="FFFFFF"/>
        </w:rPr>
        <w:t>введення в дію з 01.01.2022 року на території м. Мукачева нової нормативно- грошової оцінки земель;</w:t>
      </w:r>
    </w:p>
    <w:p w14:paraId="149DAC3F" w14:textId="77777777" w:rsidR="003C0517" w:rsidRPr="000E7DDD" w:rsidRDefault="003C0517" w:rsidP="003C0517">
      <w:pPr>
        <w:numPr>
          <w:ilvl w:val="0"/>
          <w:numId w:val="2"/>
        </w:numPr>
        <w:spacing w:after="0" w:line="240" w:lineRule="auto"/>
        <w:ind w:left="567" w:hanging="141"/>
        <w:jc w:val="both"/>
        <w:rPr>
          <w:rFonts w:ascii="Times New Roman" w:hAnsi="Times New Roman"/>
          <w:bCs/>
          <w:color w:val="000000"/>
          <w:sz w:val="28"/>
          <w:szCs w:val="28"/>
          <w:lang w:val="uk-UA"/>
        </w:rPr>
      </w:pPr>
      <w:r w:rsidRPr="000E7DDD">
        <w:rPr>
          <w:rFonts w:ascii="Times New Roman" w:hAnsi="Times New Roman"/>
          <w:bCs/>
          <w:color w:val="000000"/>
          <w:sz w:val="28"/>
          <w:szCs w:val="28"/>
          <w:lang w:val="uk-UA"/>
        </w:rPr>
        <w:t>погашення податкового боргу.</w:t>
      </w:r>
    </w:p>
    <w:p w14:paraId="7FE5A30E" w14:textId="77777777" w:rsidR="003C0517" w:rsidRPr="000E7DDD" w:rsidRDefault="003C0517" w:rsidP="003C0517">
      <w:pPr>
        <w:tabs>
          <w:tab w:val="left" w:pos="567"/>
        </w:tabs>
        <w:ind w:left="567" w:hanging="141"/>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0E7DDD">
        <w:rPr>
          <w:rFonts w:ascii="Times New Roman" w:hAnsi="Times New Roman"/>
          <w:sz w:val="28"/>
          <w:szCs w:val="28"/>
          <w:lang w:val="uk-UA"/>
        </w:rPr>
        <w:t>Разом з цим, значний вплив на виконання  запланованих на січень – березень 2022 року окремих показників бюджету Мукачівської міської територіальної громади суттєво вплинули наступні фактори:</w:t>
      </w:r>
    </w:p>
    <w:p w14:paraId="27AD5CCE" w14:textId="77777777" w:rsidR="003C0517" w:rsidRDefault="003C0517" w:rsidP="003C0517">
      <w:pPr>
        <w:numPr>
          <w:ilvl w:val="0"/>
          <w:numId w:val="2"/>
        </w:numPr>
        <w:tabs>
          <w:tab w:val="left" w:pos="567"/>
        </w:tabs>
        <w:spacing w:after="0" w:line="240" w:lineRule="auto"/>
        <w:ind w:left="426" w:firstLine="0"/>
        <w:jc w:val="both"/>
        <w:rPr>
          <w:rFonts w:ascii="Times New Roman" w:hAnsi="Times New Roman"/>
          <w:sz w:val="28"/>
          <w:szCs w:val="28"/>
          <w:shd w:val="clear" w:color="auto" w:fill="FFFFFF"/>
          <w:lang w:val="uk-UA"/>
        </w:rPr>
      </w:pPr>
      <w:r w:rsidRPr="000E7DDD">
        <w:rPr>
          <w:rFonts w:ascii="Times New Roman" w:hAnsi="Times New Roman"/>
          <w:sz w:val="28"/>
          <w:szCs w:val="28"/>
          <w:lang w:val="uk-UA"/>
        </w:rPr>
        <w:t xml:space="preserve"> введення воєнного стану на Україні на підставі </w:t>
      </w:r>
      <w:r w:rsidRPr="000E7DDD">
        <w:rPr>
          <w:rFonts w:ascii="Times New Roman" w:hAnsi="Times New Roman"/>
          <w:color w:val="000000"/>
          <w:sz w:val="28"/>
          <w:szCs w:val="28"/>
          <w:shd w:val="clear" w:color="auto" w:fill="FFFFFF"/>
          <w:lang w:val="uk-UA"/>
        </w:rPr>
        <w:t>Указу Президента України від 24 лютого 2022 року</w:t>
      </w:r>
      <w:r w:rsidRPr="000E7DDD">
        <w:rPr>
          <w:rFonts w:ascii="Times New Roman" w:hAnsi="Times New Roman"/>
          <w:color w:val="000000"/>
          <w:sz w:val="28"/>
          <w:szCs w:val="28"/>
          <w:shd w:val="clear" w:color="auto" w:fill="FFFFFF"/>
        </w:rPr>
        <w:t> </w:t>
      </w:r>
      <w:hyperlink r:id="rId10" w:tgtFrame="_blank" w:history="1">
        <w:r w:rsidRPr="000E7DDD">
          <w:rPr>
            <w:rStyle w:val="a5"/>
            <w:rFonts w:ascii="Times New Roman" w:hAnsi="Times New Roman"/>
            <w:color w:val="000000"/>
            <w:sz w:val="28"/>
            <w:szCs w:val="28"/>
            <w:shd w:val="clear" w:color="auto" w:fill="FFFFFF"/>
            <w:lang w:val="uk-UA"/>
          </w:rPr>
          <w:t>№ 64/2022 «Про введення воєнного стану в Україні»</w:t>
        </w:r>
      </w:hyperlink>
      <w:r w:rsidRPr="000E7DDD">
        <w:rPr>
          <w:rFonts w:ascii="Times New Roman" w:hAnsi="Times New Roman"/>
          <w:color w:val="000000"/>
          <w:sz w:val="28"/>
          <w:szCs w:val="28"/>
          <w:lang w:val="uk-UA"/>
        </w:rPr>
        <w:t xml:space="preserve"> та</w:t>
      </w:r>
      <w:r w:rsidRPr="000E7DDD">
        <w:rPr>
          <w:rFonts w:ascii="Times New Roman" w:hAnsi="Times New Roman"/>
          <w:color w:val="000000"/>
          <w:sz w:val="28"/>
          <w:szCs w:val="28"/>
          <w:shd w:val="clear" w:color="auto" w:fill="FFFFFF"/>
          <w:lang w:val="uk-UA"/>
        </w:rPr>
        <w:t xml:space="preserve"> затвердженим</w:t>
      </w:r>
      <w:r w:rsidRPr="000E7DDD">
        <w:rPr>
          <w:rFonts w:ascii="Times New Roman" w:hAnsi="Times New Roman"/>
          <w:color w:val="000000"/>
          <w:sz w:val="28"/>
          <w:szCs w:val="28"/>
          <w:shd w:val="clear" w:color="auto" w:fill="FFFFFF"/>
        </w:rPr>
        <w:t> </w:t>
      </w:r>
      <w:hyperlink r:id="rId11" w:anchor="Text" w:tgtFrame="_blank" w:history="1">
        <w:r w:rsidRPr="000E7DDD">
          <w:rPr>
            <w:rStyle w:val="a5"/>
            <w:rFonts w:ascii="Times New Roman" w:hAnsi="Times New Roman"/>
            <w:color w:val="000000"/>
            <w:sz w:val="28"/>
            <w:szCs w:val="28"/>
            <w:shd w:val="clear" w:color="auto" w:fill="FFFFFF"/>
            <w:lang w:val="uk-UA"/>
          </w:rPr>
          <w:t>Законом України від 24 лютого 2022 року № 2102-</w:t>
        </w:r>
        <w:r w:rsidRPr="000E7DDD">
          <w:rPr>
            <w:rStyle w:val="a5"/>
            <w:rFonts w:ascii="Times New Roman" w:hAnsi="Times New Roman"/>
            <w:color w:val="000000"/>
            <w:sz w:val="28"/>
            <w:szCs w:val="28"/>
            <w:shd w:val="clear" w:color="auto" w:fill="FFFFFF"/>
          </w:rPr>
          <w:t>IX</w:t>
        </w:r>
        <w:r w:rsidRPr="000E7DDD">
          <w:rPr>
            <w:rStyle w:val="a5"/>
            <w:rFonts w:ascii="Times New Roman" w:hAnsi="Times New Roman"/>
            <w:color w:val="000000"/>
            <w:sz w:val="28"/>
            <w:szCs w:val="28"/>
            <w:shd w:val="clear" w:color="auto" w:fill="FFFFFF"/>
            <w:lang w:val="uk-UA"/>
          </w:rPr>
          <w:t>, в Україні введено воєнний стан</w:t>
        </w:r>
      </w:hyperlink>
      <w:r w:rsidRPr="000E7DDD">
        <w:rPr>
          <w:rFonts w:ascii="Times New Roman" w:hAnsi="Times New Roman"/>
          <w:color w:val="000000"/>
          <w:sz w:val="28"/>
          <w:szCs w:val="28"/>
          <w:shd w:val="clear" w:color="auto" w:fill="FFFFFF"/>
        </w:rPr>
        <w:t> </w:t>
      </w:r>
      <w:r w:rsidRPr="000E7DDD">
        <w:rPr>
          <w:rFonts w:ascii="Times New Roman" w:hAnsi="Times New Roman"/>
          <w:color w:val="000000"/>
          <w:sz w:val="28"/>
          <w:szCs w:val="28"/>
          <w:shd w:val="clear" w:color="auto" w:fill="FFFFFF"/>
          <w:lang w:val="uk-UA"/>
        </w:rPr>
        <w:t xml:space="preserve">із 05 години 30 хвилин 24 лютого 2022 року строком на 30 діб та продовжено до 25 квітня 2022 року </w:t>
      </w:r>
      <w:r w:rsidRPr="000E7DDD">
        <w:rPr>
          <w:rFonts w:ascii="Times New Roman" w:hAnsi="Times New Roman"/>
          <w:sz w:val="28"/>
          <w:szCs w:val="28"/>
          <w:shd w:val="clear" w:color="auto" w:fill="FFFFFF"/>
          <w:lang w:val="uk-UA"/>
        </w:rPr>
        <w:t>Указом №133/2022 «Про продовження строку дії воєнного стану в Україні» та затвердженим Законом України від 15.03.2022 року №2119 – ІХ);</w:t>
      </w:r>
    </w:p>
    <w:p w14:paraId="40CE031B" w14:textId="77777777" w:rsidR="003C0517" w:rsidRPr="000E7DDD" w:rsidRDefault="003C0517" w:rsidP="003C0517">
      <w:pPr>
        <w:numPr>
          <w:ilvl w:val="0"/>
          <w:numId w:val="2"/>
        </w:numPr>
        <w:tabs>
          <w:tab w:val="left" w:pos="567"/>
        </w:tabs>
        <w:spacing w:after="0" w:line="240" w:lineRule="auto"/>
        <w:ind w:left="426" w:firstLine="0"/>
        <w:jc w:val="both"/>
        <w:rPr>
          <w:rFonts w:ascii="Times New Roman" w:hAnsi="Times New Roman"/>
          <w:sz w:val="28"/>
          <w:szCs w:val="28"/>
          <w:shd w:val="clear" w:color="auto" w:fill="FFFFFF"/>
          <w:lang w:val="uk-UA"/>
        </w:rPr>
      </w:pPr>
      <w:r w:rsidRPr="000E7DDD">
        <w:rPr>
          <w:rFonts w:ascii="Times New Roman" w:hAnsi="Times New Roman"/>
          <w:sz w:val="28"/>
          <w:szCs w:val="28"/>
          <w:lang w:val="uk-UA" w:eastAsia="uk-UA"/>
        </w:rPr>
        <w:t xml:space="preserve">прийняття Верховною Радою України Закону України «Про внесення змін до Податкового кодексу України та інших законодавчих актів України щодо дії норм на період дії воєнного стану» від 15 березня 2022 року № 2120-IX, яким передбачено  суттєві зміни, що стосуються застосування єдиного податку, оподаткування підакцизних товарів, благодійної допомоги, інші </w:t>
      </w:r>
      <w:r w:rsidRPr="000E7DDD">
        <w:rPr>
          <w:rFonts w:ascii="Times New Roman" w:hAnsi="Times New Roman"/>
          <w:sz w:val="28"/>
          <w:szCs w:val="28"/>
          <w:lang w:val="uk-UA" w:eastAsia="uk-UA"/>
        </w:rPr>
        <w:lastRenderedPageBreak/>
        <w:t>зміни до податкового законодавства, а також до цивільного, банківського законодавства та профільних законів. Цей закон набрав чинності 17 березня 2022 року.</w:t>
      </w:r>
    </w:p>
    <w:p w14:paraId="7FBC1790" w14:textId="08356221" w:rsidR="003467C8" w:rsidRPr="007020A9" w:rsidRDefault="003C0517" w:rsidP="00DF35D5">
      <w:pPr>
        <w:pStyle w:val="a0"/>
        <w:tabs>
          <w:tab w:val="left" w:pos="0"/>
          <w:tab w:val="left" w:pos="9900"/>
        </w:tabs>
        <w:ind w:right="-143"/>
        <w:jc w:val="center"/>
        <w:rPr>
          <w:rFonts w:ascii="Times New Roman" w:hAnsi="Times New Roman" w:cs="Times New Roman"/>
          <w:b/>
          <w:sz w:val="28"/>
          <w:szCs w:val="28"/>
        </w:rPr>
      </w:pPr>
      <w:r w:rsidRPr="006F42D9">
        <w:rPr>
          <w:noProof/>
          <w:lang w:eastAsia="uk-UA" w:bidi="ar-SA"/>
        </w:rPr>
        <w:drawing>
          <wp:inline distT="0" distB="0" distL="0" distR="0" wp14:anchorId="77CC919F" wp14:editId="11667E55">
            <wp:extent cx="6019800" cy="4924425"/>
            <wp:effectExtent l="0" t="0" r="0"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7CF25B" w14:textId="3FED2872" w:rsidR="003C0517" w:rsidRPr="003C0517" w:rsidRDefault="003C0517" w:rsidP="00377FF2">
      <w:pPr>
        <w:ind w:firstLine="708"/>
        <w:jc w:val="both"/>
        <w:rPr>
          <w:rFonts w:ascii="Times New Roman" w:hAnsi="Times New Roman"/>
          <w:bCs/>
          <w:color w:val="000000"/>
          <w:sz w:val="28"/>
          <w:szCs w:val="28"/>
          <w:lang w:val="uk-UA"/>
        </w:rPr>
      </w:pPr>
      <w:r w:rsidRPr="003C0517">
        <w:rPr>
          <w:rFonts w:ascii="Times New Roman" w:hAnsi="Times New Roman"/>
          <w:b/>
          <w:sz w:val="28"/>
          <w:szCs w:val="28"/>
          <w:lang w:val="uk-UA"/>
        </w:rPr>
        <w:t>Офіційні трансферти загального фонду бюджету Мукачівської міської територіальної громади</w:t>
      </w:r>
    </w:p>
    <w:p w14:paraId="7C773B0A" w14:textId="77777777" w:rsidR="007969B8" w:rsidRPr="007969B8" w:rsidRDefault="007969B8" w:rsidP="007969B8">
      <w:pPr>
        <w:ind w:firstLine="708"/>
        <w:jc w:val="both"/>
        <w:rPr>
          <w:rFonts w:ascii="Times New Roman" w:hAnsi="Times New Roman"/>
          <w:bCs/>
          <w:color w:val="000000"/>
          <w:sz w:val="28"/>
          <w:szCs w:val="28"/>
          <w:lang w:val="uk-UA"/>
        </w:rPr>
      </w:pPr>
      <w:r w:rsidRPr="007969B8">
        <w:rPr>
          <w:rFonts w:ascii="Times New Roman" w:hAnsi="Times New Roman"/>
          <w:bCs/>
          <w:color w:val="000000"/>
          <w:sz w:val="28"/>
          <w:szCs w:val="28"/>
          <w:lang w:val="uk-UA"/>
        </w:rPr>
        <w:t xml:space="preserve">За </w:t>
      </w:r>
      <w:r w:rsidRPr="007969B8">
        <w:rPr>
          <w:rStyle w:val="textexposedshow"/>
          <w:rFonts w:ascii="Times New Roman" w:hAnsi="Times New Roman"/>
          <w:color w:val="000000"/>
          <w:sz w:val="28"/>
          <w:szCs w:val="28"/>
          <w:shd w:val="clear" w:color="auto" w:fill="FFFFFF"/>
          <w:lang w:val="uk-UA"/>
        </w:rPr>
        <w:t xml:space="preserve">січень – березень 2022 року </w:t>
      </w:r>
      <w:r w:rsidRPr="007969B8">
        <w:rPr>
          <w:rFonts w:ascii="Times New Roman" w:hAnsi="Times New Roman"/>
          <w:bCs/>
          <w:color w:val="000000"/>
          <w:sz w:val="28"/>
          <w:szCs w:val="28"/>
          <w:lang w:val="uk-UA"/>
        </w:rPr>
        <w:t>бюджет отримав офіційних трансфертів у сумі</w:t>
      </w:r>
      <w:r w:rsidRPr="007969B8">
        <w:rPr>
          <w:rFonts w:ascii="Times New Roman" w:hAnsi="Times New Roman"/>
          <w:color w:val="000000"/>
          <w:sz w:val="28"/>
          <w:szCs w:val="28"/>
          <w:lang w:val="uk-UA"/>
        </w:rPr>
        <w:t xml:space="preserve"> </w:t>
      </w:r>
      <w:r w:rsidRPr="007969B8">
        <w:rPr>
          <w:rFonts w:ascii="Times New Roman" w:hAnsi="Times New Roman"/>
          <w:bCs/>
          <w:color w:val="000000"/>
          <w:sz w:val="28"/>
          <w:szCs w:val="28"/>
          <w:lang w:val="uk-UA"/>
        </w:rPr>
        <w:t>68 453,8 тис. грн., а саме:</w:t>
      </w:r>
    </w:p>
    <w:p w14:paraId="0520EE3D" w14:textId="77777777" w:rsidR="007969B8" w:rsidRPr="007969B8" w:rsidRDefault="007969B8" w:rsidP="007969B8">
      <w:pPr>
        <w:numPr>
          <w:ilvl w:val="0"/>
          <w:numId w:val="4"/>
        </w:numPr>
        <w:suppressAutoHyphens/>
        <w:spacing w:after="0" w:line="240" w:lineRule="auto"/>
        <w:jc w:val="both"/>
        <w:rPr>
          <w:rFonts w:ascii="Times New Roman" w:hAnsi="Times New Roman"/>
          <w:bCs/>
          <w:color w:val="000000"/>
          <w:sz w:val="28"/>
          <w:szCs w:val="28"/>
          <w:lang w:val="uk-UA"/>
        </w:rPr>
      </w:pPr>
      <w:r w:rsidRPr="007969B8">
        <w:rPr>
          <w:rFonts w:ascii="Times New Roman" w:hAnsi="Times New Roman"/>
          <w:color w:val="000000"/>
          <w:sz w:val="28"/>
          <w:szCs w:val="28"/>
        </w:rPr>
        <w:t xml:space="preserve">освітня субвенція </w:t>
      </w:r>
      <w:r w:rsidRPr="007969B8">
        <w:rPr>
          <w:rFonts w:ascii="Times New Roman" w:hAnsi="Times New Roman"/>
          <w:bCs/>
          <w:color w:val="000000"/>
          <w:sz w:val="28"/>
          <w:szCs w:val="28"/>
          <w:lang w:val="uk-UA"/>
        </w:rPr>
        <w:t>–</w:t>
      </w:r>
      <w:r w:rsidRPr="007969B8">
        <w:rPr>
          <w:rFonts w:ascii="Times New Roman" w:hAnsi="Times New Roman"/>
          <w:color w:val="000000"/>
          <w:sz w:val="28"/>
          <w:szCs w:val="28"/>
        </w:rPr>
        <w:t xml:space="preserve"> </w:t>
      </w:r>
      <w:r w:rsidRPr="007969B8">
        <w:rPr>
          <w:rFonts w:ascii="Times New Roman" w:hAnsi="Times New Roman"/>
          <w:color w:val="000000"/>
          <w:sz w:val="28"/>
          <w:szCs w:val="28"/>
          <w:lang w:val="uk-UA"/>
        </w:rPr>
        <w:t>67 306,8</w:t>
      </w:r>
      <w:r w:rsidRPr="007969B8">
        <w:rPr>
          <w:rFonts w:ascii="Times New Roman" w:hAnsi="Times New Roman"/>
          <w:color w:val="000000"/>
          <w:sz w:val="28"/>
          <w:szCs w:val="28"/>
        </w:rPr>
        <w:t xml:space="preserve"> тис. грн.;</w:t>
      </w:r>
    </w:p>
    <w:p w14:paraId="5B605A86" w14:textId="77777777" w:rsidR="007969B8" w:rsidRPr="007969B8" w:rsidRDefault="007969B8" w:rsidP="007969B8">
      <w:pPr>
        <w:pStyle w:val="rtejustify"/>
        <w:numPr>
          <w:ilvl w:val="0"/>
          <w:numId w:val="4"/>
        </w:numPr>
        <w:shd w:val="clear" w:color="auto" w:fill="FFFFFF"/>
        <w:spacing w:before="0" w:beforeAutospacing="0" w:after="0" w:afterAutospacing="0"/>
        <w:jc w:val="both"/>
        <w:rPr>
          <w:color w:val="000000"/>
          <w:sz w:val="28"/>
          <w:szCs w:val="28"/>
        </w:rPr>
      </w:pPr>
      <w:r w:rsidRPr="007969B8">
        <w:rPr>
          <w:color w:val="000000"/>
          <w:sz w:val="28"/>
          <w:szCs w:val="28"/>
        </w:rPr>
        <w:t>субвенція з місцевого бюджету на здійснення переданих видатків у сфері освіти за рахунок коштів освітньої субвенції – 751,8 тис. грн.;</w:t>
      </w:r>
    </w:p>
    <w:p w14:paraId="1A7DA1A5" w14:textId="77777777" w:rsidR="007969B8" w:rsidRPr="007969B8" w:rsidRDefault="007969B8" w:rsidP="007969B8">
      <w:pPr>
        <w:pStyle w:val="rtejustify"/>
        <w:numPr>
          <w:ilvl w:val="0"/>
          <w:numId w:val="4"/>
        </w:numPr>
        <w:shd w:val="clear" w:color="auto" w:fill="FFFFFF"/>
        <w:spacing w:before="0" w:beforeAutospacing="0" w:after="0" w:afterAutospacing="0"/>
        <w:jc w:val="both"/>
        <w:rPr>
          <w:color w:val="000000"/>
          <w:sz w:val="28"/>
          <w:szCs w:val="28"/>
        </w:rPr>
      </w:pPr>
      <w:r w:rsidRPr="007969B8">
        <w:rPr>
          <w:color w:val="000000"/>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395,2 тис. грн.</w:t>
      </w:r>
    </w:p>
    <w:p w14:paraId="3454FAA9" w14:textId="77777777" w:rsidR="007969B8" w:rsidRPr="007969B8" w:rsidRDefault="007969B8" w:rsidP="007969B8">
      <w:pPr>
        <w:ind w:firstLine="708"/>
        <w:jc w:val="both"/>
        <w:rPr>
          <w:rFonts w:ascii="Times New Roman" w:hAnsi="Times New Roman"/>
          <w:bCs/>
          <w:color w:val="000000"/>
          <w:sz w:val="28"/>
          <w:szCs w:val="28"/>
          <w:lang w:val="uk-UA"/>
        </w:rPr>
      </w:pPr>
      <w:r w:rsidRPr="007969B8">
        <w:rPr>
          <w:rFonts w:ascii="Times New Roman" w:hAnsi="Times New Roman"/>
          <w:bCs/>
          <w:color w:val="000000"/>
          <w:sz w:val="28"/>
          <w:szCs w:val="28"/>
          <w:lang w:val="uk-UA"/>
        </w:rPr>
        <w:t xml:space="preserve">В порівнянні з відповідним періодом минулого року надходження офіційних трансфертів збільшились на 13 084,5 тис. грн. або на 23,6 відсотка. </w:t>
      </w:r>
    </w:p>
    <w:p w14:paraId="70A4AD99" w14:textId="77777777" w:rsidR="003467C8" w:rsidRPr="00377FF2" w:rsidRDefault="003467C8" w:rsidP="003467C8">
      <w:pPr>
        <w:jc w:val="center"/>
        <w:rPr>
          <w:rFonts w:ascii="Times New Roman" w:hAnsi="Times New Roman"/>
          <w:noProof/>
          <w:color w:val="000000"/>
          <w:highlight w:val="yellow"/>
          <w:lang w:val="uk-UA" w:eastAsia="uk-UA"/>
        </w:rPr>
      </w:pPr>
    </w:p>
    <w:p w14:paraId="78A4A9C9" w14:textId="77777777" w:rsidR="003467C8" w:rsidRPr="00377FF2" w:rsidRDefault="003467C8" w:rsidP="003467C8">
      <w:pPr>
        <w:pStyle w:val="a0"/>
        <w:tabs>
          <w:tab w:val="left" w:pos="709"/>
          <w:tab w:val="left" w:pos="9900"/>
        </w:tabs>
        <w:jc w:val="center"/>
        <w:rPr>
          <w:rFonts w:ascii="Times New Roman" w:hAnsi="Times New Roman" w:cs="Times New Roman"/>
          <w:b/>
          <w:sz w:val="28"/>
          <w:szCs w:val="28"/>
        </w:rPr>
      </w:pPr>
      <w:r w:rsidRPr="00377FF2">
        <w:rPr>
          <w:rFonts w:ascii="Times New Roman" w:hAnsi="Times New Roman" w:cs="Times New Roman"/>
          <w:b/>
          <w:sz w:val="28"/>
          <w:szCs w:val="28"/>
        </w:rPr>
        <w:lastRenderedPageBreak/>
        <w:t>Доходи спеціального фонду  бюджету Мукачівської міської територіальної громади</w:t>
      </w:r>
    </w:p>
    <w:p w14:paraId="2E048879" w14:textId="77777777" w:rsidR="00555F0E" w:rsidRPr="00555F0E" w:rsidRDefault="00555F0E" w:rsidP="00555F0E">
      <w:pPr>
        <w:ind w:firstLine="708"/>
        <w:jc w:val="both"/>
        <w:textAlignment w:val="baseline"/>
        <w:rPr>
          <w:rFonts w:ascii="Times New Roman" w:hAnsi="Times New Roman"/>
          <w:color w:val="000000"/>
          <w:sz w:val="28"/>
          <w:szCs w:val="28"/>
          <w:lang w:eastAsia="uk-UA"/>
        </w:rPr>
      </w:pPr>
      <w:r w:rsidRPr="00555F0E">
        <w:rPr>
          <w:rFonts w:ascii="Times New Roman" w:hAnsi="Times New Roman"/>
          <w:bCs/>
          <w:color w:val="000000"/>
          <w:sz w:val="28"/>
          <w:szCs w:val="28"/>
          <w:lang w:val="uk-UA"/>
        </w:rPr>
        <w:t xml:space="preserve">За </w:t>
      </w:r>
      <w:r w:rsidRPr="00555F0E">
        <w:rPr>
          <w:rStyle w:val="textexposedshow"/>
          <w:rFonts w:ascii="Times New Roman" w:hAnsi="Times New Roman"/>
          <w:color w:val="000000"/>
          <w:sz w:val="28"/>
          <w:szCs w:val="28"/>
          <w:shd w:val="clear" w:color="auto" w:fill="FFFFFF"/>
          <w:lang w:val="uk-UA"/>
        </w:rPr>
        <w:t>січень – березень 2022 року</w:t>
      </w:r>
      <w:r w:rsidRPr="00555F0E">
        <w:rPr>
          <w:rFonts w:ascii="Times New Roman" w:hAnsi="Times New Roman"/>
          <w:color w:val="000000"/>
          <w:sz w:val="28"/>
          <w:szCs w:val="28"/>
          <w:lang w:val="uk-UA" w:eastAsia="uk-UA"/>
        </w:rPr>
        <w:t xml:space="preserve"> д</w:t>
      </w:r>
      <w:r w:rsidRPr="00555F0E">
        <w:rPr>
          <w:rFonts w:ascii="Times New Roman" w:hAnsi="Times New Roman"/>
          <w:color w:val="000000"/>
          <w:sz w:val="28"/>
          <w:szCs w:val="28"/>
          <w:lang w:eastAsia="uk-UA"/>
        </w:rPr>
        <w:t>о спеціального фонду</w:t>
      </w:r>
      <w:r w:rsidRPr="00555F0E">
        <w:rPr>
          <w:rFonts w:ascii="Times New Roman" w:hAnsi="Times New Roman"/>
          <w:color w:val="000000"/>
          <w:sz w:val="28"/>
          <w:szCs w:val="28"/>
          <w:lang w:val="uk-UA" w:eastAsia="uk-UA"/>
        </w:rPr>
        <w:t xml:space="preserve"> бюджету Мукачівської міської ТГ надійшло 13 573,0 тис.</w:t>
      </w:r>
      <w:r w:rsidRPr="00555F0E">
        <w:rPr>
          <w:rFonts w:ascii="Times New Roman" w:hAnsi="Times New Roman"/>
          <w:color w:val="000000"/>
          <w:sz w:val="28"/>
          <w:szCs w:val="28"/>
          <w:lang w:eastAsia="uk-UA"/>
        </w:rPr>
        <w:t xml:space="preserve"> грн. </w:t>
      </w:r>
      <w:r w:rsidRPr="00555F0E">
        <w:rPr>
          <w:rFonts w:ascii="Times New Roman" w:hAnsi="Times New Roman"/>
          <w:color w:val="000000"/>
          <w:sz w:val="28"/>
          <w:szCs w:val="28"/>
          <w:lang w:val="uk-UA" w:eastAsia="uk-UA"/>
        </w:rPr>
        <w:t>Р</w:t>
      </w:r>
      <w:r w:rsidRPr="00555F0E">
        <w:rPr>
          <w:rFonts w:ascii="Times New Roman" w:hAnsi="Times New Roman"/>
          <w:color w:val="000000"/>
          <w:sz w:val="28"/>
          <w:szCs w:val="28"/>
        </w:rPr>
        <w:t xml:space="preserve">івень виконання становить </w:t>
      </w:r>
      <w:r w:rsidRPr="00555F0E">
        <w:rPr>
          <w:rFonts w:ascii="Times New Roman" w:hAnsi="Times New Roman"/>
          <w:color w:val="000000"/>
          <w:sz w:val="28"/>
          <w:szCs w:val="28"/>
          <w:lang w:val="uk-UA"/>
        </w:rPr>
        <w:t>55,0</w:t>
      </w:r>
      <w:r w:rsidRPr="00555F0E">
        <w:rPr>
          <w:rFonts w:ascii="Times New Roman" w:hAnsi="Times New Roman"/>
          <w:color w:val="000000"/>
          <w:sz w:val="28"/>
          <w:szCs w:val="28"/>
        </w:rPr>
        <w:t xml:space="preserve"> відсотків, </w:t>
      </w:r>
      <w:r w:rsidRPr="00555F0E">
        <w:rPr>
          <w:rFonts w:ascii="Times New Roman" w:hAnsi="Times New Roman"/>
          <w:color w:val="000000"/>
          <w:sz w:val="28"/>
          <w:szCs w:val="28"/>
          <w:lang w:val="uk-UA"/>
        </w:rPr>
        <w:t xml:space="preserve">до </w:t>
      </w:r>
      <w:r w:rsidRPr="00555F0E">
        <w:rPr>
          <w:rFonts w:ascii="Times New Roman" w:hAnsi="Times New Roman"/>
          <w:color w:val="000000"/>
          <w:sz w:val="28"/>
          <w:szCs w:val="28"/>
        </w:rPr>
        <w:t>план</w:t>
      </w:r>
      <w:r w:rsidRPr="00555F0E">
        <w:rPr>
          <w:rFonts w:ascii="Times New Roman" w:hAnsi="Times New Roman"/>
          <w:color w:val="000000"/>
          <w:sz w:val="28"/>
          <w:szCs w:val="28"/>
          <w:lang w:val="uk-UA"/>
        </w:rPr>
        <w:t>у</w:t>
      </w:r>
      <w:r w:rsidRPr="00555F0E">
        <w:rPr>
          <w:rFonts w:ascii="Times New Roman" w:hAnsi="Times New Roman"/>
          <w:color w:val="000000"/>
          <w:sz w:val="28"/>
          <w:szCs w:val="28"/>
        </w:rPr>
        <w:t xml:space="preserve"> </w:t>
      </w:r>
      <w:r w:rsidRPr="00555F0E">
        <w:rPr>
          <w:rFonts w:ascii="Times New Roman" w:hAnsi="Times New Roman"/>
          <w:color w:val="000000"/>
          <w:sz w:val="28"/>
          <w:szCs w:val="28"/>
          <w:lang w:val="uk-UA"/>
        </w:rPr>
        <w:t xml:space="preserve">не </w:t>
      </w:r>
      <w:r w:rsidRPr="00555F0E">
        <w:rPr>
          <w:rFonts w:ascii="Times New Roman" w:hAnsi="Times New Roman"/>
          <w:color w:val="000000"/>
          <w:sz w:val="28"/>
          <w:szCs w:val="28"/>
        </w:rPr>
        <w:t xml:space="preserve">надійшло </w:t>
      </w:r>
      <w:r w:rsidRPr="00555F0E">
        <w:rPr>
          <w:rFonts w:ascii="Times New Roman" w:hAnsi="Times New Roman"/>
          <w:color w:val="000000"/>
          <w:sz w:val="28"/>
          <w:szCs w:val="28"/>
          <w:lang w:val="uk-UA"/>
        </w:rPr>
        <w:t xml:space="preserve">11 092,2 тис. грн. </w:t>
      </w:r>
      <w:r w:rsidRPr="00555F0E">
        <w:rPr>
          <w:rFonts w:ascii="Times New Roman" w:hAnsi="Times New Roman"/>
          <w:sz w:val="28"/>
          <w:szCs w:val="28"/>
        </w:rPr>
        <w:t xml:space="preserve">У порівнянні до аналогічного періоду минулого року надходження </w:t>
      </w:r>
      <w:r w:rsidRPr="00555F0E">
        <w:rPr>
          <w:rFonts w:ascii="Times New Roman" w:hAnsi="Times New Roman"/>
          <w:sz w:val="28"/>
          <w:szCs w:val="28"/>
          <w:lang w:val="uk-UA"/>
        </w:rPr>
        <w:t xml:space="preserve">зменшились </w:t>
      </w:r>
      <w:r w:rsidRPr="00555F0E">
        <w:rPr>
          <w:rFonts w:ascii="Times New Roman" w:hAnsi="Times New Roman"/>
          <w:sz w:val="28"/>
          <w:szCs w:val="28"/>
        </w:rPr>
        <w:t>на</w:t>
      </w:r>
      <w:r w:rsidRPr="00555F0E">
        <w:rPr>
          <w:rFonts w:ascii="Times New Roman" w:hAnsi="Times New Roman"/>
          <w:sz w:val="28"/>
          <w:szCs w:val="28"/>
          <w:lang w:val="uk-UA"/>
        </w:rPr>
        <w:t xml:space="preserve"> 2 496,1 </w:t>
      </w:r>
      <w:r w:rsidRPr="00555F0E">
        <w:rPr>
          <w:rFonts w:ascii="Times New Roman" w:hAnsi="Times New Roman"/>
          <w:sz w:val="28"/>
          <w:szCs w:val="28"/>
        </w:rPr>
        <w:t xml:space="preserve">тис. грн. або на </w:t>
      </w:r>
      <w:r w:rsidRPr="00555F0E">
        <w:rPr>
          <w:rFonts w:ascii="Times New Roman" w:hAnsi="Times New Roman"/>
          <w:sz w:val="28"/>
          <w:szCs w:val="28"/>
          <w:lang w:val="uk-UA"/>
        </w:rPr>
        <w:t xml:space="preserve">15,5 </w:t>
      </w:r>
      <w:r w:rsidRPr="00555F0E">
        <w:rPr>
          <w:rFonts w:ascii="Times New Roman" w:hAnsi="Times New Roman"/>
          <w:sz w:val="28"/>
          <w:szCs w:val="28"/>
        </w:rPr>
        <w:t>відсотків</w:t>
      </w:r>
      <w:r w:rsidRPr="00555F0E">
        <w:rPr>
          <w:rFonts w:ascii="Times New Roman" w:hAnsi="Times New Roman"/>
          <w:sz w:val="28"/>
          <w:szCs w:val="28"/>
          <w:lang w:val="uk-UA"/>
        </w:rPr>
        <w:t>.</w:t>
      </w:r>
    </w:p>
    <w:p w14:paraId="7EF44765" w14:textId="77777777" w:rsidR="00555F0E" w:rsidRDefault="00555F0E" w:rsidP="00555F0E">
      <w:pPr>
        <w:pStyle w:val="a0"/>
        <w:tabs>
          <w:tab w:val="left" w:pos="0"/>
        </w:tabs>
        <w:rPr>
          <w:color w:val="000000"/>
          <w:sz w:val="28"/>
          <w:szCs w:val="28"/>
        </w:rPr>
      </w:pPr>
      <w:r w:rsidRPr="00B0725D">
        <w:rPr>
          <w:color w:val="000000"/>
          <w:sz w:val="28"/>
          <w:szCs w:val="28"/>
        </w:rPr>
        <w:tab/>
      </w:r>
      <w:bookmarkStart w:id="2" w:name="_Hlk45113004"/>
      <w:r w:rsidRPr="00B0725D">
        <w:rPr>
          <w:color w:val="000000"/>
          <w:sz w:val="28"/>
          <w:szCs w:val="28"/>
        </w:rPr>
        <w:t>Основні надходження до спеціального фонду міського бюджету за звітній період склали:</w:t>
      </w:r>
      <w:r w:rsidRPr="00A95DCB">
        <w:rPr>
          <w:color w:val="000000"/>
          <w:sz w:val="28"/>
          <w:szCs w:val="28"/>
        </w:rPr>
        <w:t xml:space="preserve"> </w:t>
      </w:r>
    </w:p>
    <w:p w14:paraId="7C63EBCB" w14:textId="77777777" w:rsidR="00555F0E" w:rsidRPr="00B0725D" w:rsidRDefault="00555F0E" w:rsidP="00555F0E">
      <w:pPr>
        <w:pStyle w:val="a0"/>
        <w:widowControl/>
        <w:numPr>
          <w:ilvl w:val="0"/>
          <w:numId w:val="7"/>
        </w:numPr>
        <w:tabs>
          <w:tab w:val="left" w:pos="0"/>
        </w:tabs>
        <w:spacing w:after="0" w:line="240" w:lineRule="auto"/>
        <w:jc w:val="both"/>
        <w:rPr>
          <w:color w:val="000000"/>
          <w:sz w:val="28"/>
          <w:szCs w:val="28"/>
        </w:rPr>
      </w:pPr>
      <w:r>
        <w:rPr>
          <w:color w:val="000000"/>
          <w:sz w:val="28"/>
          <w:szCs w:val="28"/>
        </w:rPr>
        <w:t>53,2</w:t>
      </w:r>
      <w:r w:rsidRPr="00B0725D">
        <w:rPr>
          <w:color w:val="000000"/>
          <w:sz w:val="28"/>
          <w:szCs w:val="28"/>
        </w:rPr>
        <w:t>% власні надходження бюджетних установ</w:t>
      </w:r>
      <w:r>
        <w:rPr>
          <w:color w:val="000000"/>
          <w:sz w:val="28"/>
          <w:szCs w:val="28"/>
        </w:rPr>
        <w:t>;</w:t>
      </w:r>
    </w:p>
    <w:p w14:paraId="2059BF90" w14:textId="77777777" w:rsidR="00555F0E" w:rsidRDefault="00555F0E" w:rsidP="00555F0E">
      <w:pPr>
        <w:pStyle w:val="a0"/>
        <w:widowControl/>
        <w:numPr>
          <w:ilvl w:val="0"/>
          <w:numId w:val="7"/>
        </w:numPr>
        <w:tabs>
          <w:tab w:val="left" w:pos="0"/>
        </w:tabs>
        <w:spacing w:after="0" w:line="240" w:lineRule="auto"/>
        <w:jc w:val="both"/>
        <w:rPr>
          <w:color w:val="000000"/>
          <w:sz w:val="28"/>
          <w:szCs w:val="28"/>
        </w:rPr>
      </w:pPr>
      <w:r>
        <w:rPr>
          <w:color w:val="000000"/>
          <w:sz w:val="28"/>
          <w:szCs w:val="28"/>
        </w:rPr>
        <w:t>39,0</w:t>
      </w:r>
      <w:r w:rsidRPr="00B0725D">
        <w:rPr>
          <w:color w:val="000000"/>
          <w:sz w:val="28"/>
          <w:szCs w:val="28"/>
        </w:rPr>
        <w:t>% кошти від продажу земельних ділянок несільськогосподарського призначення, що перебувають у держав</w:t>
      </w:r>
      <w:r>
        <w:rPr>
          <w:color w:val="000000"/>
          <w:sz w:val="28"/>
          <w:szCs w:val="28"/>
        </w:rPr>
        <w:t>ній або комунальній власності;</w:t>
      </w:r>
    </w:p>
    <w:p w14:paraId="2E16B1AF" w14:textId="77777777" w:rsidR="00555F0E" w:rsidRPr="00C22EC1" w:rsidRDefault="00555F0E" w:rsidP="00555F0E">
      <w:pPr>
        <w:pStyle w:val="a0"/>
        <w:widowControl/>
        <w:numPr>
          <w:ilvl w:val="0"/>
          <w:numId w:val="7"/>
        </w:numPr>
        <w:tabs>
          <w:tab w:val="left" w:pos="0"/>
        </w:tabs>
        <w:spacing w:after="0" w:line="240" w:lineRule="auto"/>
        <w:jc w:val="both"/>
        <w:rPr>
          <w:color w:val="000000"/>
          <w:sz w:val="28"/>
          <w:szCs w:val="28"/>
        </w:rPr>
      </w:pPr>
      <w:bookmarkStart w:id="3" w:name="_GoBack"/>
      <w:r>
        <w:rPr>
          <w:color w:val="000000"/>
          <w:sz w:val="28"/>
          <w:szCs w:val="28"/>
        </w:rPr>
        <w:t xml:space="preserve">7,2 % </w:t>
      </w:r>
      <w:r w:rsidRPr="00B0725D">
        <w:rPr>
          <w:color w:val="000000"/>
          <w:sz w:val="28"/>
        </w:rPr>
        <w:t>кошти від відчуження майна, що перебуває у комунальній власності</w:t>
      </w:r>
      <w:r>
        <w:rPr>
          <w:color w:val="000000"/>
          <w:sz w:val="28"/>
        </w:rPr>
        <w:t>.</w:t>
      </w:r>
    </w:p>
    <w:bookmarkEnd w:id="3"/>
    <w:p w14:paraId="37AB4D28" w14:textId="5FC5FD25" w:rsidR="00555F0E" w:rsidRDefault="00555F0E" w:rsidP="00555F0E">
      <w:pPr>
        <w:pStyle w:val="a0"/>
        <w:tabs>
          <w:tab w:val="left" w:pos="0"/>
        </w:tabs>
        <w:ind w:left="720"/>
        <w:rPr>
          <w:color w:val="000000"/>
          <w:sz w:val="28"/>
          <w:szCs w:val="28"/>
        </w:rPr>
      </w:pPr>
    </w:p>
    <w:p w14:paraId="069638A3" w14:textId="5A64F087" w:rsidR="00555F0E" w:rsidRDefault="00555F0E" w:rsidP="00555F0E">
      <w:pPr>
        <w:pStyle w:val="a0"/>
        <w:tabs>
          <w:tab w:val="left" w:pos="0"/>
        </w:tabs>
        <w:rPr>
          <w:color w:val="000000"/>
          <w:sz w:val="28"/>
          <w:szCs w:val="28"/>
        </w:rPr>
      </w:pPr>
      <w:r>
        <w:rPr>
          <w:noProof/>
          <w:lang w:eastAsia="uk-UA" w:bidi="ar-SA"/>
        </w:rPr>
        <w:drawing>
          <wp:inline distT="0" distB="0" distL="0" distR="0" wp14:anchorId="6D6C531E" wp14:editId="70BCE4B9">
            <wp:extent cx="6120130" cy="5057775"/>
            <wp:effectExtent l="0" t="0" r="1397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077F95" w14:textId="77777777" w:rsidR="00555F0E" w:rsidRDefault="00555F0E" w:rsidP="00555F0E">
      <w:pPr>
        <w:pStyle w:val="a0"/>
        <w:tabs>
          <w:tab w:val="left" w:pos="0"/>
        </w:tabs>
        <w:ind w:left="720"/>
        <w:rPr>
          <w:color w:val="000000"/>
          <w:sz w:val="28"/>
          <w:szCs w:val="28"/>
        </w:rPr>
      </w:pPr>
    </w:p>
    <w:bookmarkEnd w:id="2"/>
    <w:p w14:paraId="6F9A698F" w14:textId="77777777" w:rsidR="00555F0E" w:rsidRPr="00B0725D" w:rsidRDefault="00555F0E" w:rsidP="00555F0E">
      <w:pPr>
        <w:pStyle w:val="a0"/>
        <w:tabs>
          <w:tab w:val="left" w:pos="567"/>
        </w:tabs>
        <w:ind w:firstLine="709"/>
        <w:rPr>
          <w:b/>
          <w:color w:val="000000"/>
          <w:sz w:val="28"/>
          <w:szCs w:val="28"/>
        </w:rPr>
      </w:pPr>
      <w:r>
        <w:rPr>
          <w:b/>
          <w:color w:val="000000"/>
          <w:sz w:val="28"/>
          <w:szCs w:val="28"/>
        </w:rPr>
        <w:t>Причинами невиконання планових показників з</w:t>
      </w:r>
      <w:r w:rsidRPr="00B0725D">
        <w:rPr>
          <w:b/>
          <w:color w:val="000000"/>
          <w:sz w:val="28"/>
          <w:szCs w:val="28"/>
        </w:rPr>
        <w:t xml:space="preserve">а </w:t>
      </w:r>
      <w:r>
        <w:rPr>
          <w:b/>
          <w:color w:val="000000"/>
          <w:sz w:val="28"/>
          <w:szCs w:val="28"/>
        </w:rPr>
        <w:t>січень – березень 2022 року є</w:t>
      </w:r>
      <w:r w:rsidRPr="00B0725D">
        <w:rPr>
          <w:b/>
          <w:color w:val="000000"/>
          <w:sz w:val="28"/>
          <w:szCs w:val="28"/>
        </w:rPr>
        <w:t>:</w:t>
      </w:r>
    </w:p>
    <w:p w14:paraId="11D07568" w14:textId="77777777" w:rsidR="00555F0E" w:rsidRPr="00555F0E" w:rsidRDefault="00555F0E" w:rsidP="00555F0E">
      <w:pPr>
        <w:pStyle w:val="a0"/>
        <w:widowControl/>
        <w:numPr>
          <w:ilvl w:val="0"/>
          <w:numId w:val="11"/>
        </w:numPr>
        <w:tabs>
          <w:tab w:val="num" w:pos="1134"/>
          <w:tab w:val="left" w:pos="1276"/>
          <w:tab w:val="num" w:pos="1637"/>
        </w:tabs>
        <w:spacing w:after="0" w:line="240" w:lineRule="auto"/>
        <w:ind w:leftChars="295" w:left="1073" w:hanging="424"/>
        <w:jc w:val="both"/>
        <w:rPr>
          <w:b/>
          <w:color w:val="000000" w:themeColor="text1"/>
          <w:sz w:val="28"/>
          <w:szCs w:val="28"/>
        </w:rPr>
      </w:pPr>
      <w:r w:rsidRPr="00726561">
        <w:rPr>
          <w:color w:val="000000"/>
          <w:sz w:val="28"/>
          <w:szCs w:val="28"/>
        </w:rPr>
        <w:t>власні надходження бюджетних установ – недотримано  5 688,8 тис. грн.</w:t>
      </w:r>
      <w:r w:rsidRPr="00DB0E28">
        <w:rPr>
          <w:b/>
          <w:bCs/>
          <w:color w:val="FF0000"/>
        </w:rPr>
        <w:t xml:space="preserve"> </w:t>
      </w:r>
      <w:r w:rsidRPr="00555F0E">
        <w:rPr>
          <w:color w:val="000000" w:themeColor="text1"/>
          <w:sz w:val="28"/>
          <w:szCs w:val="28"/>
        </w:rPr>
        <w:t>У зв’язку із запровадженням карантинних заходів зменшились надходження від: батьківської плати за перебування дітей у дошкільних навчальних закладах, плати за навчання у початкових мистецьких школах, а також плати за оренду приміщень закладів культури;</w:t>
      </w:r>
      <w:r w:rsidRPr="00555F0E">
        <w:rPr>
          <w:color w:val="000000" w:themeColor="text1"/>
        </w:rPr>
        <w:t xml:space="preserve">  </w:t>
      </w:r>
    </w:p>
    <w:p w14:paraId="0534E456" w14:textId="77777777" w:rsidR="00555F0E" w:rsidRPr="00726561" w:rsidRDefault="00555F0E" w:rsidP="00555F0E">
      <w:pPr>
        <w:pStyle w:val="a0"/>
        <w:widowControl/>
        <w:numPr>
          <w:ilvl w:val="0"/>
          <w:numId w:val="10"/>
        </w:numPr>
        <w:shd w:val="clear" w:color="auto" w:fill="FFFFFF"/>
        <w:tabs>
          <w:tab w:val="left" w:pos="0"/>
          <w:tab w:val="left" w:pos="567"/>
        </w:tabs>
        <w:spacing w:after="0" w:line="240" w:lineRule="auto"/>
        <w:ind w:left="1134" w:hanging="425"/>
        <w:jc w:val="both"/>
        <w:rPr>
          <w:bCs/>
          <w:color w:val="000000"/>
          <w:sz w:val="28"/>
          <w:szCs w:val="28"/>
        </w:rPr>
      </w:pPr>
      <w:r w:rsidRPr="00555F0E">
        <w:rPr>
          <w:color w:val="000000" w:themeColor="text1"/>
          <w:sz w:val="28"/>
          <w:szCs w:val="28"/>
        </w:rPr>
        <w:t xml:space="preserve">кошти від відчуження майна, що перебуває у комунальній власності – недоотримано до плану 577,4 тис. грн. Причиною невиконання </w:t>
      </w:r>
      <w:r w:rsidRPr="00726561">
        <w:rPr>
          <w:color w:val="000000"/>
          <w:sz w:val="28"/>
          <w:szCs w:val="28"/>
        </w:rPr>
        <w:t>запланованого показника є мала конкуренція на електронному аукціоні з продажу об`єктів комунальної власності, що вплинуло на вартість об`єктів;</w:t>
      </w:r>
    </w:p>
    <w:p w14:paraId="59286AA4" w14:textId="77777777" w:rsidR="00555F0E" w:rsidRPr="00726561" w:rsidRDefault="00555F0E" w:rsidP="00555F0E">
      <w:pPr>
        <w:pStyle w:val="a0"/>
        <w:widowControl/>
        <w:numPr>
          <w:ilvl w:val="0"/>
          <w:numId w:val="10"/>
        </w:numPr>
        <w:shd w:val="clear" w:color="auto" w:fill="FFFFFF"/>
        <w:tabs>
          <w:tab w:val="left" w:pos="0"/>
          <w:tab w:val="left" w:pos="567"/>
        </w:tabs>
        <w:spacing w:after="0" w:line="240" w:lineRule="auto"/>
        <w:ind w:left="1134" w:hanging="425"/>
        <w:jc w:val="both"/>
        <w:rPr>
          <w:bCs/>
          <w:color w:val="000000"/>
          <w:sz w:val="28"/>
          <w:szCs w:val="28"/>
        </w:rPr>
      </w:pPr>
      <w:r w:rsidRPr="00726561">
        <w:rPr>
          <w:color w:val="000000"/>
          <w:sz w:val="28"/>
          <w:szCs w:val="28"/>
        </w:rPr>
        <w:t>кошти від продажу земельних ділянок несільськогосподарського призначення, що перебувають у державній або комунальній власності – недоотримано – 4 711,3 тис. грн.</w:t>
      </w:r>
      <w:r w:rsidRPr="00DB0E28">
        <w:rPr>
          <w:color w:val="FF0000"/>
          <w:sz w:val="28"/>
          <w:szCs w:val="28"/>
        </w:rPr>
        <w:t xml:space="preserve"> </w:t>
      </w:r>
      <w:r w:rsidRPr="00726561">
        <w:rPr>
          <w:color w:val="000000"/>
          <w:sz w:val="28"/>
          <w:szCs w:val="28"/>
        </w:rPr>
        <w:t>Причиною невиконання запланованого показника є відсутність учасників по продажу земельних ділянок по вул. Свято-Михайлівській з цільовим призначенням для будівництва та обслуговування будівель торгівлі на аукціоні в системі ДП «Прозорро Продажі».</w:t>
      </w:r>
      <w:r w:rsidRPr="00726561">
        <w:rPr>
          <w:color w:val="000000"/>
          <w:sz w:val="28"/>
          <w:szCs w:val="28"/>
        </w:rPr>
        <w:tab/>
      </w:r>
    </w:p>
    <w:p w14:paraId="112585CE" w14:textId="77777777" w:rsidR="00C315E2" w:rsidRDefault="00C315E2" w:rsidP="00C315E2">
      <w:pPr>
        <w:pStyle w:val="a0"/>
        <w:widowControl/>
        <w:tabs>
          <w:tab w:val="left" w:pos="0"/>
          <w:tab w:val="left" w:pos="993"/>
        </w:tabs>
        <w:spacing w:after="0" w:line="240" w:lineRule="auto"/>
        <w:ind w:left="720"/>
        <w:jc w:val="both"/>
        <w:rPr>
          <w:color w:val="000000"/>
          <w:sz w:val="28"/>
          <w:szCs w:val="28"/>
        </w:rPr>
      </w:pPr>
    </w:p>
    <w:p w14:paraId="6BBB0D97" w14:textId="77777777" w:rsidR="00BA0524" w:rsidRPr="00BA0524" w:rsidRDefault="00BA0524" w:rsidP="000362FE">
      <w:pPr>
        <w:pStyle w:val="a8"/>
        <w:spacing w:before="240" w:after="0" w:line="276" w:lineRule="auto"/>
        <w:ind w:left="0" w:firstLine="851"/>
        <w:jc w:val="both"/>
        <w:rPr>
          <w:rFonts w:ascii="Times New Roman" w:hAnsi="Times New Roman" w:cs="Times New Roman"/>
          <w:bCs/>
          <w:kern w:val="1"/>
          <w:sz w:val="28"/>
          <w:szCs w:val="28"/>
        </w:rPr>
      </w:pPr>
      <w:r w:rsidRPr="00BA0524">
        <w:rPr>
          <w:rFonts w:ascii="Times New Roman" w:hAnsi="Times New Roman" w:cs="Times New Roman"/>
          <w:bCs/>
          <w:kern w:val="1"/>
          <w:sz w:val="28"/>
          <w:szCs w:val="28"/>
        </w:rPr>
        <w:t>Видатки бюджету Мукачівської міської територіальної громади (разом загальний і спеціальний фонд) за січень - березень 2022 року склали 213 055,7 тис. грн., в тому числі видатки загального фонду – 211 406,8 тис. грн. та   спеціального – 1 648,9 тис. грн..</w:t>
      </w:r>
    </w:p>
    <w:p w14:paraId="02055292" w14:textId="77777777" w:rsidR="00BA0524" w:rsidRPr="00BA0524" w:rsidRDefault="00BA0524" w:rsidP="000362FE">
      <w:pPr>
        <w:pStyle w:val="a8"/>
        <w:spacing w:before="240" w:after="0" w:line="276" w:lineRule="auto"/>
        <w:ind w:left="0" w:firstLine="851"/>
        <w:jc w:val="both"/>
        <w:rPr>
          <w:rFonts w:ascii="Times New Roman" w:hAnsi="Times New Roman" w:cs="Times New Roman"/>
          <w:bCs/>
          <w:kern w:val="1"/>
          <w:sz w:val="28"/>
          <w:szCs w:val="28"/>
        </w:rPr>
      </w:pPr>
      <w:r w:rsidRPr="00BA0524">
        <w:rPr>
          <w:rFonts w:ascii="Times New Roman" w:hAnsi="Times New Roman" w:cs="Times New Roman"/>
          <w:bCs/>
          <w:kern w:val="1"/>
          <w:sz w:val="28"/>
          <w:szCs w:val="28"/>
        </w:rPr>
        <w:t>Фінансовий ресурс бюджету в першочерговому порядку направлявся на захищені видатки бюджету Мукачівської міської територіальної громади. По загальному фонду виконання по окремим захищеним видаткам за січень – березень 2022 року склало 182 445,5 тис. грн., або 86,3 % від обсягу видатків загального фонду бюджету, у т. ч.: заробітна плата з нарахуваннями  –  161 692,0  тис. грн., або 88,6%; продукти харчування та медикаменти – 1 017,2  тис. грн., або  0,6 %; оплата енергоносіїв –  10 767,2 тис. грн., або 5,9 %; видатки соціального характеру (дороговартісне лікування, пільгові рецепти, стипендії та ін.) –  7 299,6 тис. грн. –   4,0 %, обслуговування місцевого боргу – 1 669,4 тис. грн. –   0,9 %.</w:t>
      </w:r>
    </w:p>
    <w:p w14:paraId="446747BC" w14:textId="12210C7E" w:rsidR="003467C8" w:rsidRPr="00BA0524" w:rsidRDefault="00BA0524" w:rsidP="000362FE">
      <w:pPr>
        <w:pStyle w:val="a8"/>
        <w:spacing w:before="240" w:after="0" w:line="276" w:lineRule="auto"/>
        <w:ind w:left="0" w:firstLine="851"/>
        <w:jc w:val="both"/>
        <w:rPr>
          <w:rFonts w:ascii="Times New Roman" w:hAnsi="Times New Roman" w:cs="Times New Roman"/>
          <w:bCs/>
          <w:sz w:val="28"/>
          <w:szCs w:val="28"/>
          <w:highlight w:val="yellow"/>
          <w:shd w:val="clear" w:color="auto" w:fill="FFFFFF"/>
        </w:rPr>
      </w:pPr>
      <w:r w:rsidRPr="00BA0524">
        <w:rPr>
          <w:rFonts w:ascii="Times New Roman" w:hAnsi="Times New Roman" w:cs="Times New Roman"/>
          <w:bCs/>
          <w:kern w:val="1"/>
          <w:sz w:val="28"/>
          <w:szCs w:val="28"/>
        </w:rPr>
        <w:t xml:space="preserve">Видатки спеціального фонду місцевого бюджету склали   </w:t>
      </w:r>
      <w:r w:rsidR="000362FE">
        <w:rPr>
          <w:rFonts w:ascii="Times New Roman" w:hAnsi="Times New Roman" w:cs="Times New Roman"/>
          <w:bCs/>
          <w:kern w:val="1"/>
          <w:sz w:val="28"/>
          <w:szCs w:val="28"/>
        </w:rPr>
        <w:t>7 238,4</w:t>
      </w:r>
      <w:r w:rsidRPr="00BA0524">
        <w:rPr>
          <w:rFonts w:ascii="Times New Roman" w:hAnsi="Times New Roman" w:cs="Times New Roman"/>
          <w:bCs/>
          <w:kern w:val="1"/>
          <w:sz w:val="28"/>
          <w:szCs w:val="28"/>
        </w:rPr>
        <w:t xml:space="preserve"> тис. грн.,  з них на видатки капітального характеру – 1 648,</w:t>
      </w:r>
      <w:r w:rsidRPr="000362FE">
        <w:rPr>
          <w:rFonts w:ascii="Times New Roman" w:hAnsi="Times New Roman" w:cs="Times New Roman"/>
          <w:bCs/>
          <w:kern w:val="1"/>
          <w:sz w:val="28"/>
          <w:szCs w:val="28"/>
        </w:rPr>
        <w:t>9 тис. грн.</w:t>
      </w:r>
      <w:r w:rsidR="003467C8" w:rsidRPr="000362FE">
        <w:rPr>
          <w:rFonts w:ascii="Times New Roman" w:hAnsi="Times New Roman" w:cs="Times New Roman"/>
          <w:bCs/>
          <w:sz w:val="28"/>
          <w:szCs w:val="28"/>
          <w:shd w:val="clear" w:color="auto" w:fill="FFFFFF"/>
        </w:rPr>
        <w:t xml:space="preserve">. </w:t>
      </w:r>
    </w:p>
    <w:p w14:paraId="468D3AAB" w14:textId="77777777" w:rsidR="0062521D" w:rsidRPr="0062521D" w:rsidRDefault="0062521D" w:rsidP="000362FE">
      <w:pPr>
        <w:pStyle w:val="a8"/>
        <w:spacing w:after="0" w:line="276" w:lineRule="auto"/>
        <w:ind w:left="0" w:firstLine="851"/>
        <w:jc w:val="both"/>
        <w:rPr>
          <w:rFonts w:ascii="Times New Roman" w:hAnsi="Times New Roman" w:cs="Times New Roman"/>
          <w:sz w:val="28"/>
          <w:szCs w:val="28"/>
        </w:rPr>
      </w:pPr>
      <w:r w:rsidRPr="00BA0524">
        <w:rPr>
          <w:rFonts w:ascii="Times New Roman" w:hAnsi="Times New Roman" w:cs="Times New Roman"/>
          <w:bCs/>
          <w:sz w:val="28"/>
          <w:szCs w:val="28"/>
        </w:rPr>
        <w:t>Обсяги  залишків коштів бюджету Мукачівської</w:t>
      </w:r>
      <w:r w:rsidRPr="0062521D">
        <w:rPr>
          <w:rFonts w:ascii="Times New Roman" w:hAnsi="Times New Roman" w:cs="Times New Roman"/>
          <w:sz w:val="28"/>
          <w:szCs w:val="28"/>
        </w:rPr>
        <w:t xml:space="preserve"> міської територіальної громади станом на 01.01.2022 року склали 46 089 709,10 гривень, з них: по загальному фонду місцевого бюджету -  34 359 915,29 гривень, в тому числі: освітня субвенція – 58 036,32  гривень,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1 101 494,81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3 186 519,29 гривень, освітня субвенція з державного бюджету, отримана згідно розпорядження 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ремонт обладнання та придбання обладнання для їдалень (харчоблоків) закладів загальної середньої освіти –            34 600,00 гривень, субвенція з місцевого бюджету на здійснення переданих видатків у сфері освіти за рахунок коштів освітньої субвенції – 367 988,66 гривень, кошти місцевих бюджетів заблоковані на рахунках в установах банків (АКАБ «Україна») – 27 711,59 гривень, субвенція з державного бюджету місцевим бюджетам на розвиток мережі центрів надання адміністративних послуг – 2 002,00 гривень; по спеціальному фонду місцевого бюджету 11 729 793,81 гривень, в тому числі: бюджету розвитку 9 661 744,70 гривень, навколишнє середовище – 784 212,46 гривень, відшкодування с/г втрат – 360 814,08 гривні, цільові фонди утворені Верховною Радою Автономної Республіки Крим, органами місцевого самоврядування та місцевими органами виконавчої влади – 622 081,55 гривень, повернення довгострокових кредитів, наданих індивідуальним забудовникам житла на селі – 300 929,00 гривень, кошти місцевих бюджетів заблоковані на рахунках в установах банків (АКАБ «Україна») – 12,02  гривень.</w:t>
      </w:r>
    </w:p>
    <w:p w14:paraId="4FFD7A15" w14:textId="77777777" w:rsidR="0062521D" w:rsidRDefault="0062521D" w:rsidP="000362FE">
      <w:pPr>
        <w:pStyle w:val="a8"/>
        <w:spacing w:after="0" w:line="276" w:lineRule="auto"/>
        <w:ind w:left="0" w:firstLine="851"/>
        <w:jc w:val="both"/>
        <w:rPr>
          <w:rFonts w:ascii="Times New Roman" w:hAnsi="Times New Roman" w:cs="Times New Roman"/>
          <w:sz w:val="28"/>
          <w:szCs w:val="28"/>
        </w:rPr>
      </w:pPr>
      <w:r w:rsidRPr="0062521D">
        <w:rPr>
          <w:rFonts w:ascii="Times New Roman" w:hAnsi="Times New Roman" w:cs="Times New Roman"/>
          <w:sz w:val="28"/>
          <w:szCs w:val="28"/>
        </w:rPr>
        <w:t>Станом на 01.04.2022 року обсяг нерозподілених залишків коштів міського бюджету склав 19 168 709,10 гривень, з них: по загальному фонду місцевого бюджету -  10 559 915,29 гривень, в тому числі: освітня субвенція – 58 036,32  гривень,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1 101 494,81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3 186 519,29 гривень, освітня субвенція з державного бюджету, отримана згідно розпорядження 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ремонт обладнання та придбання обладнання для їдалень (харчоблоків) закладів загальної середньої освіти –  34 600,00 гривень, субвенція з місцевого бюджету на здійснення переданих видатків у сфері освіти за рахунок коштів освітньої субвенції – 367 988,66 гривень, кошти місцевих бюджетів заблоковані на рахунках в установах банків (АКАБ «Україна») – 27 711,59 гривень, субвенція з державного бюджету місцевим бюджетам на розвиток мережі центрів надання адміністративних послуг – 2 002,00 гривень; по спеціальному фонду місцевого бюджету 8 608 793,81 гривень, в тому числі: бюджету розвитку 6 540 744,7 гривень, навколишнє середовище – 784 212,46 гривень, відшкодування с/г втрат – 360 814,08 гривні, цільові фонди утворені Верховною Радою Автономної Республіки Крим, органами місцевого самоврядування та місцевими органами виконавчої влади – 622 081,55 гривень, повернення довгострокових кредитів, наданих індивідуальним забудовникам житла на селі – 300 929,00 гривень, кошти місцевих бюджетів заблоковані на рахунках в установах банків (АКАБ «Україна») – 12,02  гривень.</w:t>
      </w:r>
    </w:p>
    <w:p w14:paraId="7B0D06DF" w14:textId="1C85B1AA" w:rsidR="003467C8" w:rsidRPr="0062521D" w:rsidRDefault="003467C8" w:rsidP="000362FE">
      <w:pPr>
        <w:pStyle w:val="a8"/>
        <w:spacing w:after="0" w:line="276" w:lineRule="auto"/>
        <w:ind w:left="0" w:firstLine="851"/>
        <w:jc w:val="both"/>
        <w:rPr>
          <w:rFonts w:ascii="Times New Roman" w:hAnsi="Times New Roman" w:cs="Times New Roman"/>
          <w:color w:val="000000"/>
          <w:sz w:val="28"/>
          <w:szCs w:val="28"/>
        </w:rPr>
      </w:pPr>
      <w:r w:rsidRPr="0062521D">
        <w:rPr>
          <w:rFonts w:ascii="Times New Roman" w:hAnsi="Times New Roman" w:cs="Times New Roman"/>
          <w:color w:val="000000"/>
          <w:sz w:val="28"/>
          <w:szCs w:val="28"/>
        </w:rPr>
        <w:t xml:space="preserve">Станом на </w:t>
      </w:r>
      <w:r w:rsidR="0062521D" w:rsidRPr="0062521D">
        <w:rPr>
          <w:rFonts w:ascii="Times New Roman" w:hAnsi="Times New Roman" w:cs="Times New Roman"/>
          <w:color w:val="000000"/>
          <w:sz w:val="28"/>
          <w:szCs w:val="28"/>
        </w:rPr>
        <w:t>01</w:t>
      </w:r>
      <w:r w:rsidRPr="0062521D">
        <w:rPr>
          <w:rFonts w:ascii="Times New Roman" w:hAnsi="Times New Roman" w:cs="Times New Roman"/>
          <w:color w:val="000000"/>
          <w:sz w:val="28"/>
          <w:szCs w:val="28"/>
        </w:rPr>
        <w:t>.</w:t>
      </w:r>
      <w:r w:rsidR="0062521D" w:rsidRPr="0062521D">
        <w:rPr>
          <w:rFonts w:ascii="Times New Roman" w:hAnsi="Times New Roman" w:cs="Times New Roman"/>
          <w:color w:val="000000"/>
          <w:sz w:val="28"/>
          <w:szCs w:val="28"/>
        </w:rPr>
        <w:t>04</w:t>
      </w:r>
      <w:r w:rsidRPr="0062521D">
        <w:rPr>
          <w:rFonts w:ascii="Times New Roman" w:hAnsi="Times New Roman" w:cs="Times New Roman"/>
          <w:color w:val="000000"/>
          <w:sz w:val="28"/>
          <w:szCs w:val="28"/>
        </w:rPr>
        <w:t>.202</w:t>
      </w:r>
      <w:r w:rsidR="0062521D" w:rsidRPr="0062521D">
        <w:rPr>
          <w:rFonts w:ascii="Times New Roman" w:hAnsi="Times New Roman" w:cs="Times New Roman"/>
          <w:color w:val="000000"/>
          <w:sz w:val="28"/>
          <w:szCs w:val="28"/>
        </w:rPr>
        <w:t>2</w:t>
      </w:r>
      <w:r w:rsidRPr="0062521D">
        <w:rPr>
          <w:rFonts w:ascii="Times New Roman" w:hAnsi="Times New Roman" w:cs="Times New Roman"/>
          <w:color w:val="000000"/>
          <w:sz w:val="28"/>
          <w:szCs w:val="28"/>
        </w:rPr>
        <w:t xml:space="preserve"> року кошти резервного фонду бюджету Мукачівської міської територіальної громади не використовувались, обсяг резервного фонду становить 100,0 тис. грн.</w:t>
      </w:r>
    </w:p>
    <w:p w14:paraId="2903EE76" w14:textId="772FDC76" w:rsidR="0062521D" w:rsidRPr="0062521D" w:rsidRDefault="0062521D" w:rsidP="000362FE">
      <w:pPr>
        <w:pStyle w:val="a8"/>
        <w:spacing w:line="276" w:lineRule="auto"/>
        <w:ind w:left="0" w:firstLine="851"/>
        <w:jc w:val="both"/>
        <w:rPr>
          <w:rFonts w:ascii="Times New Roman" w:hAnsi="Times New Roman" w:cs="Times New Roman"/>
          <w:bCs/>
          <w:color w:val="000000"/>
          <w:sz w:val="28"/>
          <w:szCs w:val="28"/>
        </w:rPr>
      </w:pPr>
      <w:r w:rsidRPr="0062521D">
        <w:rPr>
          <w:rFonts w:ascii="Times New Roman" w:hAnsi="Times New Roman" w:cs="Times New Roman"/>
          <w:bCs/>
          <w:color w:val="000000"/>
          <w:sz w:val="28"/>
          <w:szCs w:val="28"/>
        </w:rPr>
        <w:t xml:space="preserve">Станом на </w:t>
      </w:r>
      <w:r>
        <w:rPr>
          <w:rFonts w:ascii="Times New Roman" w:hAnsi="Times New Roman" w:cs="Times New Roman"/>
          <w:bCs/>
          <w:color w:val="000000"/>
          <w:sz w:val="28"/>
          <w:szCs w:val="28"/>
        </w:rPr>
        <w:t>01</w:t>
      </w:r>
      <w:r w:rsidRPr="0062521D">
        <w:rPr>
          <w:rFonts w:ascii="Times New Roman" w:hAnsi="Times New Roman" w:cs="Times New Roman"/>
          <w:bCs/>
          <w:color w:val="000000"/>
          <w:sz w:val="28"/>
          <w:szCs w:val="28"/>
        </w:rPr>
        <w:t>.0</w:t>
      </w:r>
      <w:r>
        <w:rPr>
          <w:rFonts w:ascii="Times New Roman" w:hAnsi="Times New Roman" w:cs="Times New Roman"/>
          <w:bCs/>
          <w:color w:val="000000"/>
          <w:sz w:val="28"/>
          <w:szCs w:val="28"/>
        </w:rPr>
        <w:t>4</w:t>
      </w:r>
      <w:r w:rsidRPr="0062521D">
        <w:rPr>
          <w:rFonts w:ascii="Times New Roman" w:hAnsi="Times New Roman" w:cs="Times New Roman"/>
          <w:bCs/>
          <w:color w:val="000000"/>
          <w:sz w:val="28"/>
          <w:szCs w:val="28"/>
        </w:rPr>
        <w:t>.2022 року, згідно умов договору, за рахунок коштів місцевого запозичення на об’єкти будівництва, реконструкцію та проведення капітальних ремонтів об’єктів комунальної власності Мукачівської міської територіальної громади,  обсяг   завантаженості    кредитної   лінії   становить  77 988,6 тис. грн.</w:t>
      </w:r>
    </w:p>
    <w:p w14:paraId="16DFEAB4" w14:textId="77777777" w:rsidR="0062521D" w:rsidRPr="0062521D" w:rsidRDefault="0062521D" w:rsidP="000362FE">
      <w:pPr>
        <w:pStyle w:val="a8"/>
        <w:spacing w:line="276" w:lineRule="auto"/>
        <w:ind w:left="0" w:firstLine="851"/>
        <w:jc w:val="both"/>
        <w:rPr>
          <w:rFonts w:ascii="Times New Roman" w:hAnsi="Times New Roman" w:cs="Times New Roman"/>
          <w:bCs/>
          <w:color w:val="000000"/>
          <w:sz w:val="28"/>
          <w:szCs w:val="28"/>
        </w:rPr>
      </w:pPr>
      <w:r w:rsidRPr="0062521D">
        <w:rPr>
          <w:rFonts w:ascii="Times New Roman" w:hAnsi="Times New Roman" w:cs="Times New Roman"/>
          <w:bCs/>
          <w:color w:val="000000"/>
          <w:sz w:val="28"/>
          <w:szCs w:val="28"/>
        </w:rPr>
        <w:t>На погашення місцевого запозичення протягом 2021-2022 років  спрямовано 23 247,4 тис. грн., з яких в 2022 році -15 498,3 тис. грн.</w:t>
      </w:r>
    </w:p>
    <w:p w14:paraId="273BB9F5" w14:textId="77777777" w:rsidR="0062521D" w:rsidRPr="0062521D" w:rsidRDefault="0062521D" w:rsidP="000362FE">
      <w:pPr>
        <w:pStyle w:val="a8"/>
        <w:spacing w:line="276" w:lineRule="auto"/>
        <w:ind w:left="0" w:firstLine="851"/>
        <w:jc w:val="both"/>
        <w:rPr>
          <w:rFonts w:ascii="Times New Roman" w:hAnsi="Times New Roman" w:cs="Times New Roman"/>
          <w:bCs/>
          <w:color w:val="000000"/>
          <w:sz w:val="28"/>
          <w:szCs w:val="28"/>
        </w:rPr>
      </w:pPr>
      <w:r w:rsidRPr="0062521D">
        <w:rPr>
          <w:rFonts w:ascii="Times New Roman" w:hAnsi="Times New Roman" w:cs="Times New Roman"/>
          <w:bCs/>
          <w:color w:val="000000"/>
          <w:sz w:val="28"/>
          <w:szCs w:val="28"/>
        </w:rPr>
        <w:t>На обслуговування місцевого боргу (відсотки за користування кредитних коштів) з місцевого бюджету за січень-березня 2022 року спрямовано 1 669,4 тис. грн.</w:t>
      </w:r>
    </w:p>
    <w:p w14:paraId="1B8A0E25" w14:textId="77777777" w:rsidR="003467C8" w:rsidRPr="0062521D" w:rsidRDefault="003467C8" w:rsidP="003467C8">
      <w:pPr>
        <w:rPr>
          <w:rFonts w:ascii="Times New Roman" w:hAnsi="Times New Roman"/>
          <w:sz w:val="16"/>
          <w:szCs w:val="16"/>
          <w:lang w:val="uk-UA"/>
        </w:rPr>
      </w:pPr>
    </w:p>
    <w:p w14:paraId="2840DFC6" w14:textId="60BD5B74" w:rsidR="003467C8" w:rsidRPr="0001789C" w:rsidRDefault="0001789C" w:rsidP="0001789C">
      <w:pPr>
        <w:spacing w:after="0" w:line="240" w:lineRule="auto"/>
        <w:jc w:val="right"/>
        <w:rPr>
          <w:rFonts w:ascii="Times New Roman" w:hAnsi="Times New Roman"/>
          <w:sz w:val="20"/>
          <w:szCs w:val="20"/>
          <w:lang w:val="uk-UA"/>
        </w:rPr>
      </w:pPr>
      <w:r>
        <w:rPr>
          <w:rFonts w:ascii="Times New Roman" w:hAnsi="Times New Roman"/>
          <w:b/>
          <w:bCs/>
          <w:sz w:val="28"/>
          <w:szCs w:val="28"/>
          <w:lang w:val="uk-UA"/>
        </w:rPr>
        <w:t>Фінансове управління Мукачівської міської ради</w:t>
      </w:r>
    </w:p>
    <w:p w14:paraId="27437DE4" w14:textId="77777777" w:rsidR="00DD37D6" w:rsidRDefault="00DD37D6" w:rsidP="00052F0B">
      <w:pPr>
        <w:jc w:val="center"/>
        <w:rPr>
          <w:rFonts w:ascii="Times New Roman" w:hAnsi="Times New Roman"/>
          <w:sz w:val="28"/>
          <w:lang w:val="uk-UA"/>
        </w:rPr>
      </w:pPr>
    </w:p>
    <w:sectPr w:rsidR="00DD37D6" w:rsidSect="0001789C">
      <w:pgSz w:w="11906" w:h="16838"/>
      <w:pgMar w:top="993"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27910" w14:textId="77777777" w:rsidR="000D3858" w:rsidRDefault="000D3858" w:rsidP="00C315E2">
      <w:pPr>
        <w:spacing w:after="0" w:line="240" w:lineRule="auto"/>
      </w:pPr>
      <w:r>
        <w:separator/>
      </w:r>
    </w:p>
  </w:endnote>
  <w:endnote w:type="continuationSeparator" w:id="0">
    <w:p w14:paraId="4120A04B" w14:textId="77777777" w:rsidR="000D3858" w:rsidRDefault="000D3858" w:rsidP="00C3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56E8D" w14:textId="77777777" w:rsidR="000D3858" w:rsidRDefault="000D3858" w:rsidP="00C315E2">
      <w:pPr>
        <w:spacing w:after="0" w:line="240" w:lineRule="auto"/>
      </w:pPr>
      <w:r>
        <w:separator/>
      </w:r>
    </w:p>
  </w:footnote>
  <w:footnote w:type="continuationSeparator" w:id="0">
    <w:p w14:paraId="2C6BEAE1" w14:textId="77777777" w:rsidR="000D3858" w:rsidRDefault="000D3858" w:rsidP="00C31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E110FF"/>
    <w:multiLevelType w:val="hybridMultilevel"/>
    <w:tmpl w:val="6250FB3E"/>
    <w:lvl w:ilvl="0" w:tplc="E25C87FC">
      <w:start w:val="1"/>
      <w:numFmt w:val="bullet"/>
      <w:lvlText w:val=""/>
      <w:lvlJc w:val="left"/>
      <w:pPr>
        <w:tabs>
          <w:tab w:val="num" w:pos="1210"/>
        </w:tabs>
        <w:ind w:left="1210"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color w:val="auto"/>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EEC7CAF"/>
    <w:multiLevelType w:val="hybridMultilevel"/>
    <w:tmpl w:val="F48413AA"/>
    <w:lvl w:ilvl="0" w:tplc="D6D0AA16">
      <w:start w:val="1"/>
      <w:numFmt w:val="bullet"/>
      <w:lvlText w:val=""/>
      <w:lvlJc w:val="left"/>
      <w:pPr>
        <w:ind w:left="1429"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31BE056D"/>
    <w:multiLevelType w:val="hybridMultilevel"/>
    <w:tmpl w:val="E59C0F5A"/>
    <w:lvl w:ilvl="0" w:tplc="EE48F880">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 w15:restartNumberingAfterBreak="0">
    <w:nsid w:val="32912602"/>
    <w:multiLevelType w:val="hybridMultilevel"/>
    <w:tmpl w:val="9996B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39506B0"/>
    <w:multiLevelType w:val="hybridMultilevel"/>
    <w:tmpl w:val="F9BA11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9B25E8"/>
    <w:multiLevelType w:val="hybridMultilevel"/>
    <w:tmpl w:val="58E6F672"/>
    <w:lvl w:ilvl="0" w:tplc="0422000D">
      <w:start w:val="1"/>
      <w:numFmt w:val="bullet"/>
      <w:lvlText w:val=""/>
      <w:lvlJc w:val="left"/>
      <w:pPr>
        <w:ind w:left="1650" w:hanging="360"/>
      </w:pPr>
      <w:rPr>
        <w:rFonts w:ascii="Wingdings" w:hAnsi="Wingdings"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7" w15:restartNumberingAfterBreak="0">
    <w:nsid w:val="42D82AD3"/>
    <w:multiLevelType w:val="hybridMultilevel"/>
    <w:tmpl w:val="1436A556"/>
    <w:lvl w:ilvl="0" w:tplc="5E7C44AE">
      <w:numFmt w:val="bullet"/>
      <w:lvlText w:val="-"/>
      <w:lvlJc w:val="left"/>
      <w:pPr>
        <w:ind w:left="1129" w:hanging="360"/>
      </w:pPr>
      <w:rPr>
        <w:rFonts w:ascii="Arial" w:eastAsia="Times New Roman" w:hAnsi="Arial" w:cs="Arial"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8" w15:restartNumberingAfterBreak="0">
    <w:nsid w:val="4EB54B50"/>
    <w:multiLevelType w:val="hybridMultilevel"/>
    <w:tmpl w:val="E906277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 w15:restartNumberingAfterBreak="0">
    <w:nsid w:val="69CB5DDB"/>
    <w:multiLevelType w:val="hybridMultilevel"/>
    <w:tmpl w:val="804A2DA2"/>
    <w:lvl w:ilvl="0" w:tplc="EF7E5EAA">
      <w:numFmt w:val="bullet"/>
      <w:lvlText w:val="-"/>
      <w:lvlJc w:val="left"/>
      <w:pPr>
        <w:ind w:left="1080" w:hanging="360"/>
      </w:pPr>
      <w:rPr>
        <w:rFonts w:ascii="san-serif" w:eastAsia="Times New Roman" w:hAnsi="san-serif"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73E62160"/>
    <w:multiLevelType w:val="hybridMultilevel"/>
    <w:tmpl w:val="55E23D8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0"/>
  </w:num>
  <w:num w:numId="6">
    <w:abstractNumId w:val="3"/>
  </w:num>
  <w:num w:numId="7">
    <w:abstractNumId w:val="4"/>
  </w:num>
  <w:num w:numId="8">
    <w:abstractNumId w:val="9"/>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B"/>
    <w:rsid w:val="0001789C"/>
    <w:rsid w:val="000362FE"/>
    <w:rsid w:val="00052F0B"/>
    <w:rsid w:val="000568F2"/>
    <w:rsid w:val="00084E48"/>
    <w:rsid w:val="000D3858"/>
    <w:rsid w:val="000E7DDD"/>
    <w:rsid w:val="001D73E0"/>
    <w:rsid w:val="00225A2A"/>
    <w:rsid w:val="002E7391"/>
    <w:rsid w:val="003467C8"/>
    <w:rsid w:val="00353F87"/>
    <w:rsid w:val="00377FF2"/>
    <w:rsid w:val="003C0517"/>
    <w:rsid w:val="003E4ED5"/>
    <w:rsid w:val="003F1A31"/>
    <w:rsid w:val="004859A1"/>
    <w:rsid w:val="00555F0E"/>
    <w:rsid w:val="005830CB"/>
    <w:rsid w:val="005920E8"/>
    <w:rsid w:val="0062521D"/>
    <w:rsid w:val="006606D0"/>
    <w:rsid w:val="006A22D6"/>
    <w:rsid w:val="007020A9"/>
    <w:rsid w:val="007728E7"/>
    <w:rsid w:val="007969B8"/>
    <w:rsid w:val="00871983"/>
    <w:rsid w:val="00AC28AB"/>
    <w:rsid w:val="00AF5DB8"/>
    <w:rsid w:val="00B24D03"/>
    <w:rsid w:val="00B67E1A"/>
    <w:rsid w:val="00BA0524"/>
    <w:rsid w:val="00BB337B"/>
    <w:rsid w:val="00C315E2"/>
    <w:rsid w:val="00C63533"/>
    <w:rsid w:val="00CA14A2"/>
    <w:rsid w:val="00D90B29"/>
    <w:rsid w:val="00DC2DAA"/>
    <w:rsid w:val="00DD37D6"/>
    <w:rsid w:val="00DF35D5"/>
    <w:rsid w:val="00E32974"/>
    <w:rsid w:val="00E41B45"/>
    <w:rsid w:val="00E52FC5"/>
    <w:rsid w:val="00E73C0C"/>
    <w:rsid w:val="00EB70B3"/>
    <w:rsid w:val="00FF0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8A71"/>
  <w15:chartTrackingRefBased/>
  <w15:docId w15:val="{4B847E98-078A-4FFC-A1E8-16D9599B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0B"/>
    <w:pPr>
      <w:spacing w:after="200" w:line="276" w:lineRule="auto"/>
    </w:pPr>
    <w:rPr>
      <w:rFonts w:ascii="Calibri" w:eastAsia="Calibri" w:hAnsi="Calibri" w:cs="Times New Roman"/>
      <w:lang w:val="ru-RU"/>
    </w:rPr>
  </w:style>
  <w:style w:type="paragraph" w:styleId="3">
    <w:name w:val="heading 3"/>
    <w:basedOn w:val="a"/>
    <w:next w:val="a0"/>
    <w:link w:val="30"/>
    <w:qFormat/>
    <w:rsid w:val="003467C8"/>
    <w:pPr>
      <w:keepNext/>
      <w:widowControl w:val="0"/>
      <w:numPr>
        <w:ilvl w:val="2"/>
        <w:numId w:val="1"/>
      </w:numPr>
      <w:suppressAutoHyphens/>
      <w:spacing w:before="140" w:after="120" w:line="240" w:lineRule="auto"/>
      <w:outlineLvl w:val="2"/>
    </w:pPr>
    <w:rPr>
      <w:rFonts w:ascii="Liberation Sans" w:eastAsia="Droid Sans Fallback" w:hAnsi="Liberation Sans" w:cs="FreeSans"/>
      <w:b/>
      <w:bCs/>
      <w:kern w:val="1"/>
      <w:sz w:val="28"/>
      <w:szCs w:val="28"/>
      <w:lang w:val="uk-UA"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ий текст"/>
    <w:basedOn w:val="a"/>
    <w:rsid w:val="00052F0B"/>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052F0B"/>
    <w:pPr>
      <w:keepNext/>
      <w:spacing w:after="0" w:line="360" w:lineRule="auto"/>
      <w:jc w:val="center"/>
    </w:pPr>
    <w:rPr>
      <w:rFonts w:ascii="Times New Roman" w:eastAsia="Times New Roman" w:hAnsi="Times New Roman"/>
      <w:b/>
      <w:sz w:val="32"/>
      <w:szCs w:val="20"/>
      <w:lang w:val="uk-UA" w:eastAsia="ru-RU"/>
    </w:rPr>
  </w:style>
  <w:style w:type="character" w:styleId="a5">
    <w:name w:val="Hyperlink"/>
    <w:rsid w:val="00052F0B"/>
    <w:rPr>
      <w:color w:val="0000FF"/>
      <w:u w:val="single"/>
    </w:rPr>
  </w:style>
  <w:style w:type="character" w:customStyle="1" w:styleId="30">
    <w:name w:val="Заголовок 3 Знак"/>
    <w:basedOn w:val="a1"/>
    <w:link w:val="3"/>
    <w:rsid w:val="003467C8"/>
    <w:rPr>
      <w:rFonts w:ascii="Liberation Sans" w:eastAsia="Droid Sans Fallback" w:hAnsi="Liberation Sans" w:cs="FreeSans"/>
      <w:b/>
      <w:bCs/>
      <w:kern w:val="1"/>
      <w:sz w:val="28"/>
      <w:szCs w:val="28"/>
      <w:lang w:eastAsia="zh-CN" w:bidi="hi-IN"/>
    </w:rPr>
  </w:style>
  <w:style w:type="paragraph" w:styleId="a0">
    <w:name w:val="Body Text"/>
    <w:basedOn w:val="a"/>
    <w:link w:val="a6"/>
    <w:rsid w:val="003467C8"/>
    <w:pPr>
      <w:widowControl w:val="0"/>
      <w:suppressAutoHyphens/>
      <w:spacing w:after="140" w:line="288" w:lineRule="auto"/>
    </w:pPr>
    <w:rPr>
      <w:rFonts w:ascii="Liberation Serif" w:eastAsia="Droid Sans Fallback" w:hAnsi="Liberation Serif" w:cs="FreeSans"/>
      <w:kern w:val="1"/>
      <w:sz w:val="24"/>
      <w:szCs w:val="24"/>
      <w:lang w:val="uk-UA" w:eastAsia="zh-CN" w:bidi="hi-IN"/>
    </w:rPr>
  </w:style>
  <w:style w:type="character" w:customStyle="1" w:styleId="a6">
    <w:name w:val="Основной текст Знак"/>
    <w:basedOn w:val="a1"/>
    <w:link w:val="a0"/>
    <w:rsid w:val="003467C8"/>
    <w:rPr>
      <w:rFonts w:ascii="Liberation Serif" w:eastAsia="Droid Sans Fallback" w:hAnsi="Liberation Serif" w:cs="FreeSans"/>
      <w:kern w:val="1"/>
      <w:sz w:val="24"/>
      <w:szCs w:val="24"/>
      <w:lang w:eastAsia="zh-CN" w:bidi="hi-IN"/>
    </w:rPr>
  </w:style>
  <w:style w:type="paragraph" w:styleId="a7">
    <w:name w:val="Normal (Web)"/>
    <w:basedOn w:val="a"/>
    <w:uiPriority w:val="99"/>
    <w:unhideWhenUsed/>
    <w:rsid w:val="003467C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8">
    <w:name w:val="Body Text Indent"/>
    <w:basedOn w:val="a"/>
    <w:link w:val="a9"/>
    <w:uiPriority w:val="99"/>
    <w:semiHidden/>
    <w:unhideWhenUsed/>
    <w:rsid w:val="003467C8"/>
    <w:pPr>
      <w:widowControl w:val="0"/>
      <w:suppressAutoHyphens/>
      <w:spacing w:after="120" w:line="240" w:lineRule="auto"/>
      <w:ind w:left="283"/>
    </w:pPr>
    <w:rPr>
      <w:rFonts w:ascii="Liberation Serif" w:eastAsia="Droid Sans Fallback" w:hAnsi="Liberation Serif" w:cs="Mangal"/>
      <w:kern w:val="2"/>
      <w:sz w:val="24"/>
      <w:szCs w:val="21"/>
      <w:lang w:val="uk-UA" w:eastAsia="zh-CN" w:bidi="hi-IN"/>
    </w:rPr>
  </w:style>
  <w:style w:type="character" w:customStyle="1" w:styleId="a9">
    <w:name w:val="Основной текст с отступом Знак"/>
    <w:basedOn w:val="a1"/>
    <w:link w:val="a8"/>
    <w:uiPriority w:val="99"/>
    <w:semiHidden/>
    <w:rsid w:val="003467C8"/>
    <w:rPr>
      <w:rFonts w:ascii="Liberation Serif" w:eastAsia="Droid Sans Fallback" w:hAnsi="Liberation Serif" w:cs="Mangal"/>
      <w:kern w:val="2"/>
      <w:sz w:val="24"/>
      <w:szCs w:val="21"/>
      <w:lang w:eastAsia="zh-CN" w:bidi="hi-IN"/>
    </w:rPr>
  </w:style>
  <w:style w:type="paragraph" w:customStyle="1" w:styleId="rtejustify">
    <w:name w:val="rtejustify"/>
    <w:basedOn w:val="a"/>
    <w:rsid w:val="003467C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header"/>
    <w:basedOn w:val="a"/>
    <w:link w:val="ab"/>
    <w:uiPriority w:val="99"/>
    <w:unhideWhenUsed/>
    <w:rsid w:val="00C315E2"/>
    <w:pPr>
      <w:tabs>
        <w:tab w:val="center" w:pos="4819"/>
        <w:tab w:val="right" w:pos="9639"/>
      </w:tabs>
      <w:spacing w:after="0" w:line="240" w:lineRule="auto"/>
    </w:pPr>
  </w:style>
  <w:style w:type="character" w:customStyle="1" w:styleId="ab">
    <w:name w:val="Верхний колонтитул Знак"/>
    <w:basedOn w:val="a1"/>
    <w:link w:val="aa"/>
    <w:uiPriority w:val="99"/>
    <w:rsid w:val="00C315E2"/>
    <w:rPr>
      <w:rFonts w:ascii="Calibri" w:eastAsia="Calibri" w:hAnsi="Calibri" w:cs="Times New Roman"/>
      <w:lang w:val="ru-RU"/>
    </w:rPr>
  </w:style>
  <w:style w:type="paragraph" w:styleId="ac">
    <w:name w:val="footer"/>
    <w:basedOn w:val="a"/>
    <w:link w:val="ad"/>
    <w:uiPriority w:val="99"/>
    <w:unhideWhenUsed/>
    <w:rsid w:val="00C315E2"/>
    <w:pPr>
      <w:tabs>
        <w:tab w:val="center" w:pos="4819"/>
        <w:tab w:val="right" w:pos="9639"/>
      </w:tabs>
      <w:spacing w:after="0" w:line="240" w:lineRule="auto"/>
    </w:pPr>
  </w:style>
  <w:style w:type="character" w:customStyle="1" w:styleId="ad">
    <w:name w:val="Нижний колонтитул Знак"/>
    <w:basedOn w:val="a1"/>
    <w:link w:val="ac"/>
    <w:uiPriority w:val="99"/>
    <w:rsid w:val="00C315E2"/>
    <w:rPr>
      <w:rFonts w:ascii="Calibri" w:eastAsia="Calibri" w:hAnsi="Calibri" w:cs="Times New Roman"/>
      <w:lang w:val="ru-RU"/>
    </w:rPr>
  </w:style>
  <w:style w:type="paragraph" w:styleId="ae">
    <w:name w:val="List Paragraph"/>
    <w:basedOn w:val="a"/>
    <w:uiPriority w:val="34"/>
    <w:qFormat/>
    <w:rsid w:val="000E7DDD"/>
    <w:pPr>
      <w:spacing w:before="120" w:after="120" w:line="240" w:lineRule="auto"/>
      <w:ind w:left="720" w:firstLine="709"/>
      <w:contextualSpacing/>
      <w:jc w:val="both"/>
    </w:pPr>
    <w:rPr>
      <w:rFonts w:ascii="Times New Roman" w:hAnsi="Times New Roman"/>
      <w:sz w:val="24"/>
      <w:szCs w:val="24"/>
      <w:lang w:val="uk-UA" w:eastAsia="ru-RU"/>
    </w:rPr>
  </w:style>
  <w:style w:type="character" w:customStyle="1" w:styleId="textexposedshow">
    <w:name w:val="text_exposed_show"/>
    <w:rsid w:val="0079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02-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ident.gov.ua/documents/642022-4139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44;&#1110;&#1072;&#1075;&#1088;&#1072;&#1084;&#1080;202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6;&#1054;&#1041;&#1054;&#1058;&#1040;\&#1040;&#1085;&#1072;&#1083;&#1110;&#1079;&#1080;%202022\&#1044;&#1110;&#1072;&#1075;&#1088;&#1072;&#1084;&#1080;202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6;&#1054;&#1041;&#1054;&#1058;&#1040;\&#1040;&#1085;&#1072;&#1083;&#1110;&#1079;&#1080;%202022\&#1044;&#1110;&#1072;&#1075;&#1088;&#1072;&#1084;&#1080;202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E:\&#1044;&#1110;&#1072;&#1075;&#1088;&#1072;&#1084;&#108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solidFill>
                  <a:schemeClr val="tx1"/>
                </a:solidFill>
                <a:latin typeface="Times New Roman" panose="02020603050405020304" pitchFamily="18" charset="0"/>
                <a:cs typeface="Times New Roman" panose="02020603050405020304" pitchFamily="18" charset="0"/>
              </a:rPr>
              <a:t>Структура доходів бюджету Мукачівської міської територіальної</a:t>
            </a:r>
            <a:r>
              <a:rPr lang="uk-UA" b="1" baseline="0">
                <a:solidFill>
                  <a:schemeClr val="tx1"/>
                </a:solidFill>
                <a:latin typeface="Times New Roman" panose="02020603050405020304" pitchFamily="18" charset="0"/>
                <a:cs typeface="Times New Roman" panose="02020603050405020304" pitchFamily="18" charset="0"/>
              </a:rPr>
              <a:t> громади </a:t>
            </a:r>
            <a:r>
              <a:rPr lang="uk-UA" b="1">
                <a:solidFill>
                  <a:schemeClr val="tx1"/>
                </a:solidFill>
                <a:latin typeface="Times New Roman" panose="02020603050405020304" pitchFamily="18" charset="0"/>
                <a:cs typeface="Times New Roman" panose="02020603050405020304" pitchFamily="18" charset="0"/>
              </a:rPr>
              <a:t>за січень - березень 2022 рік</a:t>
            </a:r>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8967085636034624E-2"/>
          <c:y val="0.34412839378684223"/>
          <c:w val="0.76787778450770572"/>
          <c:h val="0.58372154316864155"/>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422-4C61-BAC1-BB1022D7873D}"/>
              </c:ext>
            </c:extLst>
          </c:dPt>
          <c:dPt>
            <c:idx val="1"/>
            <c:bubble3D val="0"/>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422-4C61-BAC1-BB1022D7873D}"/>
              </c:ext>
            </c:extLst>
          </c:dPt>
          <c:dPt>
            <c:idx val="2"/>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422-4C61-BAC1-BB1022D7873D}"/>
              </c:ext>
            </c:extLst>
          </c:dPt>
          <c:dLbls>
            <c:dLbl>
              <c:idx val="0"/>
              <c:layout>
                <c:manualLayout>
                  <c:x val="0.11069773886959766"/>
                  <c:y val="-5.4896777247106406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422-4C61-BAC1-BB1022D7873D}"/>
                </c:ext>
                <c:ext xmlns:c15="http://schemas.microsoft.com/office/drawing/2012/chart" uri="{CE6537A1-D6FC-4f65-9D91-7224C49458BB}">
                  <c15:layout/>
                </c:ext>
              </c:extLst>
            </c:dLbl>
            <c:dLbl>
              <c:idx val="1"/>
              <c:layout>
                <c:manualLayout>
                  <c:x val="7.5908446226830434E-3"/>
                  <c:y val="0.12311759390731904"/>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B422-4C61-BAC1-BB1022D7873D}"/>
                </c:ext>
                <c:ext xmlns:c15="http://schemas.microsoft.com/office/drawing/2012/chart" uri="{CE6537A1-D6FC-4f65-9D91-7224C49458BB}">
                  <c15:spPr xmlns:c15="http://schemas.microsoft.com/office/drawing/2012/chart">
                    <a:prstGeom prst="rect">
                      <a:avLst/>
                    </a:prstGeom>
                  </c15:spPr>
                  <c15:layout>
                    <c:manualLayout>
                      <c:w val="0.22140786749482402"/>
                      <c:h val="0.14878705735553546"/>
                    </c:manualLayout>
                  </c15:layout>
                </c:ext>
              </c:extLst>
            </c:dLbl>
            <c:dLbl>
              <c:idx val="2"/>
              <c:layout>
                <c:manualLayout>
                  <c:x val="-0.10101221043021796"/>
                  <c:y val="-1.2206015231702635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B422-4C61-BAC1-BB1022D7873D}"/>
                </c:ext>
                <c:ext xmlns:c15="http://schemas.microsoft.com/office/drawing/2012/chart" uri="{CE6537A1-D6FC-4f65-9D91-7224C49458BB}">
                  <c15:spPr xmlns:c15="http://schemas.microsoft.com/office/drawing/2012/chart">
                    <a:prstGeom prst="rect">
                      <a:avLst/>
                    </a:prstGeom>
                  </c15:spPr>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'структура доходів  за І кв 2022'!$C$12:$E$14</c:f>
              <c:multiLvlStrCache>
                <c:ptCount val="3"/>
                <c:lvl>
                  <c:pt idx="0">
                    <c:v>тис.грн.</c:v>
                  </c:pt>
                  <c:pt idx="1">
                    <c:v>тис.грн.</c:v>
                  </c:pt>
                  <c:pt idx="2">
                    <c:v>тис.грн.</c:v>
                  </c:pt>
                </c:lvl>
                <c:lvl>
                  <c:pt idx="0">
                    <c:v>218461,7</c:v>
                  </c:pt>
                  <c:pt idx="1">
                    <c:v>13573,0</c:v>
                  </c:pt>
                  <c:pt idx="2">
                    <c:v>68453,8</c:v>
                  </c:pt>
                </c:lvl>
                <c:lvl>
                  <c:pt idx="0">
                    <c:v>Власні доходи загального фонду</c:v>
                  </c:pt>
                  <c:pt idx="1">
                    <c:v>Власні доходи спеціального фонду</c:v>
                  </c:pt>
                  <c:pt idx="2">
                    <c:v>Трансферти загального та спеціального фондів</c:v>
                  </c:pt>
                </c:lvl>
              </c:multiLvlStrCache>
            </c:multiLvlStrRef>
          </c:cat>
          <c:val>
            <c:numRef>
              <c:f>'структура доходів  за І кв 2022'!$F$12:$F$14</c:f>
              <c:numCache>
                <c:formatCode>0.0%</c:formatCode>
                <c:ptCount val="3"/>
                <c:pt idx="0">
                  <c:v>0.72702183278228627</c:v>
                </c:pt>
                <c:pt idx="1">
                  <c:v>4.5169781871851999E-2</c:v>
                </c:pt>
                <c:pt idx="2">
                  <c:v>0.22780838534586184</c:v>
                </c:pt>
              </c:numCache>
            </c:numRef>
          </c:val>
          <c:extLst xmlns:c16r2="http://schemas.microsoft.com/office/drawing/2015/06/chart">
            <c:ext xmlns:c16="http://schemas.microsoft.com/office/drawing/2014/chart" uri="{C3380CC4-5D6E-409C-BE32-E72D297353CC}">
              <c16:uniqueId val="{00000006-B422-4C61-BAC1-BB1022D7873D}"/>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1" baseline="0">
                <a:solidFill>
                  <a:schemeClr val="tx1"/>
                </a:solidFill>
                <a:latin typeface="Times New Roman" panose="02020603050405020304" pitchFamily="18" charset="0"/>
                <a:cs typeface="Times New Roman" panose="02020603050405020304" pitchFamily="18" charset="0"/>
              </a:rPr>
              <a:t> Показники надходжень</a:t>
            </a:r>
            <a:r>
              <a:rPr lang="uk-UA" sz="1400" b="1" i="0" baseline="0">
                <a:solidFill>
                  <a:sysClr val="windowText" lastClr="000000"/>
                </a:solidFill>
                <a:effectLst/>
                <a:latin typeface="Times New Roman" panose="02020603050405020304" pitchFamily="18" charset="0"/>
                <a:cs typeface="Times New Roman" panose="02020603050405020304" pitchFamily="18" charset="0"/>
              </a:rPr>
              <a:t> до </a:t>
            </a:r>
            <a:r>
              <a:rPr lang="uk-UA" sz="1400" b="1" i="0" baseline="0">
                <a:effectLst/>
                <a:latin typeface="Times New Roman" panose="02020603050405020304" pitchFamily="18" charset="0"/>
                <a:cs typeface="Times New Roman" panose="02020603050405020304" pitchFamily="18" charset="0"/>
              </a:rPr>
              <a:t> бюджету Мукачівської міської територіальної громади за І квартал 2022 та </a:t>
            </a:r>
          </a:p>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1" i="0" baseline="0">
                <a:effectLst/>
                <a:latin typeface="Times New Roman" panose="02020603050405020304" pitchFamily="18" charset="0"/>
                <a:cs typeface="Times New Roman" panose="02020603050405020304" pitchFamily="18" charset="0"/>
              </a:rPr>
              <a:t>за І квартал 2021 рр. </a:t>
            </a:r>
            <a:r>
              <a:rPr lang="uk-UA" sz="1400" b="1" baseline="0">
                <a:solidFill>
                  <a:schemeClr val="tx1"/>
                </a:solidFill>
                <a:latin typeface="Times New Roman" panose="02020603050405020304" pitchFamily="18" charset="0"/>
                <a:cs typeface="Times New Roman" panose="02020603050405020304" pitchFamily="18" charset="0"/>
              </a:rPr>
              <a:t>(млн. грн.)</a:t>
            </a:r>
          </a:p>
        </c:rich>
      </c:tx>
      <c:layout>
        <c:manualLayout>
          <c:xMode val="edge"/>
          <c:yMode val="edge"/>
          <c:x val="0.16600601172962304"/>
          <c:y val="0"/>
        </c:manualLayout>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754557501229549E-2"/>
          <c:y val="0.2918803418803419"/>
          <c:w val="0.90585347043281761"/>
          <c:h val="0.5834050070664244"/>
        </c:manualLayout>
      </c:layout>
      <c:bar3DChart>
        <c:barDir val="col"/>
        <c:grouping val="clustered"/>
        <c:varyColors val="0"/>
        <c:ser>
          <c:idx val="0"/>
          <c:order val="0"/>
          <c:tx>
            <c:strRef>
              <c:f>'Показ надходж за І кв2022'!$B$8</c:f>
              <c:strCache>
                <c:ptCount val="1"/>
                <c:pt idx="0">
                  <c:v>І квартал 2022 року</c:v>
                </c:pt>
              </c:strCache>
            </c:strRef>
          </c:tx>
          <c:spPr>
            <a:solidFill>
              <a:srgbClr val="4F81BD"/>
            </a:solidFill>
            <a:ln w="25400">
              <a:noFill/>
            </a:ln>
          </c:spPr>
          <c:invertIfNegative val="0"/>
          <c:dLbls>
            <c:dLbl>
              <c:idx val="0"/>
              <c:layout>
                <c:manualLayout>
                  <c:x val="1.0085728693898134E-2"/>
                  <c:y val="-5.7971014492753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841-40E2-95D3-F5EEFAC98C9F}"/>
                </c:ext>
                <c:ext xmlns:c15="http://schemas.microsoft.com/office/drawing/2012/chart" uri="{CE6537A1-D6FC-4f65-9D91-7224C49458BB}">
                  <c15:layout/>
                </c:ext>
              </c:extLst>
            </c:dLbl>
            <c:dLbl>
              <c:idx val="1"/>
              <c:layout>
                <c:manualLayout>
                  <c:x val="2.017145738779627E-3"/>
                  <c:y val="-4.25120772946859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41-40E2-95D3-F5EEFAC98C9F}"/>
                </c:ext>
                <c:ext xmlns:c15="http://schemas.microsoft.com/office/drawing/2012/chart" uri="{CE6537A1-D6FC-4f65-9D91-7224C49458BB}">
                  <c15:layout/>
                </c:ext>
              </c:extLst>
            </c:dLbl>
            <c:dLbl>
              <c:idx val="2"/>
              <c:layout>
                <c:manualLayout>
                  <c:x val="6.0514372163387323E-3"/>
                  <c:y val="-5.0241545893719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841-40E2-95D3-F5EEFAC98C9F}"/>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 надходж за І кв2022'!$A$9:$A$11</c:f>
              <c:strCache>
                <c:ptCount val="3"/>
                <c:pt idx="0">
                  <c:v>Доходи загального фонду (без транфсертів)</c:v>
                </c:pt>
                <c:pt idx="1">
                  <c:v>Трансферти загального та спеціального фондів</c:v>
                </c:pt>
                <c:pt idx="2">
                  <c:v>Доходи спеціального фонду (без трансфертів)</c:v>
                </c:pt>
              </c:strCache>
            </c:strRef>
          </c:cat>
          <c:val>
            <c:numRef>
              <c:f>'Показ надходж за І кв2022'!$B$9:$B$11</c:f>
              <c:numCache>
                <c:formatCode>#\ ##0.0</c:formatCode>
                <c:ptCount val="3"/>
                <c:pt idx="0">
                  <c:v>218.5</c:v>
                </c:pt>
                <c:pt idx="1">
                  <c:v>68.400000000000006</c:v>
                </c:pt>
                <c:pt idx="2">
                  <c:v>13.6</c:v>
                </c:pt>
              </c:numCache>
            </c:numRef>
          </c:val>
          <c:extLst xmlns:c16r2="http://schemas.microsoft.com/office/drawing/2015/06/chart">
            <c:ext xmlns:c16="http://schemas.microsoft.com/office/drawing/2014/chart" uri="{C3380CC4-5D6E-409C-BE32-E72D297353CC}">
              <c16:uniqueId val="{00000003-8841-40E2-95D3-F5EEFAC98C9F}"/>
            </c:ext>
          </c:extLst>
        </c:ser>
        <c:ser>
          <c:idx val="1"/>
          <c:order val="1"/>
          <c:tx>
            <c:strRef>
              <c:f>'Показ надходж за І кв2022'!$C$8</c:f>
              <c:strCache>
                <c:ptCount val="1"/>
                <c:pt idx="0">
                  <c:v>І квартал 2021 року</c:v>
                </c:pt>
              </c:strCache>
            </c:strRef>
          </c:tx>
          <c:spPr>
            <a:solidFill>
              <a:srgbClr val="C0504D"/>
            </a:solidFill>
            <a:ln w="25400">
              <a:noFill/>
            </a:ln>
          </c:spPr>
          <c:invertIfNegative val="0"/>
          <c:dLbls>
            <c:dLbl>
              <c:idx val="0"/>
              <c:layout>
                <c:manualLayout>
                  <c:x val="4.0342835360405969E-2"/>
                  <c:y val="-1.9323823652478221E-2"/>
                </c:manualLayout>
              </c:layout>
              <c:spPr>
                <a:noFill/>
                <a:ln w="25400">
                  <a:noFill/>
                </a:ln>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841-40E2-95D3-F5EEFAC98C9F}"/>
                </c:ext>
                <c:ext xmlns:c15="http://schemas.microsoft.com/office/drawing/2012/chart" uri="{CE6537A1-D6FC-4f65-9D91-7224C49458BB}">
                  <c15:spPr xmlns:c15="http://schemas.microsoft.com/office/drawing/2012/chart">
                    <a:prstGeom prst="rect">
                      <a:avLst/>
                    </a:prstGeom>
                  </c15:spPr>
                  <c15:layout/>
                </c:ext>
              </c:extLst>
            </c:dLbl>
            <c:dLbl>
              <c:idx val="1"/>
              <c:layout>
                <c:manualLayout>
                  <c:x val="3.8325769036812909E-2"/>
                  <c:y val="-4.25120772946860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841-40E2-95D3-F5EEFAC98C9F}"/>
                </c:ext>
                <c:ext xmlns:c15="http://schemas.microsoft.com/office/drawing/2012/chart" uri="{CE6537A1-D6FC-4f65-9D91-7224C49458BB}">
                  <c15:layout/>
                </c:ext>
              </c:extLst>
            </c:dLbl>
            <c:dLbl>
              <c:idx val="2"/>
              <c:layout>
                <c:manualLayout>
                  <c:x val="3.8325769036812909E-2"/>
                  <c:y val="-5.79710144927536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841-40E2-95D3-F5EEFAC98C9F}"/>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 надходж за І кв2022'!$A$9:$A$11</c:f>
              <c:strCache>
                <c:ptCount val="3"/>
                <c:pt idx="0">
                  <c:v>Доходи загального фонду (без транфсертів)</c:v>
                </c:pt>
                <c:pt idx="1">
                  <c:v>Трансферти загального та спеціального фондів</c:v>
                </c:pt>
                <c:pt idx="2">
                  <c:v>Доходи спеціального фонду (без трансфертів)</c:v>
                </c:pt>
              </c:strCache>
            </c:strRef>
          </c:cat>
          <c:val>
            <c:numRef>
              <c:f>'Показ надходж за І кв2022'!$C$9:$C$11</c:f>
              <c:numCache>
                <c:formatCode>#\ ##0.0</c:formatCode>
                <c:ptCount val="3"/>
                <c:pt idx="0">
                  <c:v>181.8</c:v>
                </c:pt>
                <c:pt idx="1">
                  <c:v>55.4</c:v>
                </c:pt>
                <c:pt idx="2">
                  <c:v>16.100000000000001</c:v>
                </c:pt>
              </c:numCache>
            </c:numRef>
          </c:val>
          <c:extLst xmlns:c16r2="http://schemas.microsoft.com/office/drawing/2015/06/chart">
            <c:ext xmlns:c16="http://schemas.microsoft.com/office/drawing/2014/chart" uri="{C3380CC4-5D6E-409C-BE32-E72D297353CC}">
              <c16:uniqueId val="{00000007-8841-40E2-95D3-F5EEFAC98C9F}"/>
            </c:ext>
          </c:extLst>
        </c:ser>
        <c:dLbls>
          <c:showLegendKey val="0"/>
          <c:showVal val="0"/>
          <c:showCatName val="0"/>
          <c:showSerName val="0"/>
          <c:showPercent val="0"/>
          <c:showBubbleSize val="0"/>
        </c:dLbls>
        <c:gapWidth val="150"/>
        <c:shape val="box"/>
        <c:axId val="271410840"/>
        <c:axId val="271417112"/>
        <c:axId val="0"/>
      </c:bar3DChart>
      <c:catAx>
        <c:axId val="27141084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71417112"/>
        <c:crosses val="autoZero"/>
        <c:auto val="1"/>
        <c:lblAlgn val="ctr"/>
        <c:lblOffset val="100"/>
        <c:noMultiLvlLbl val="0"/>
      </c:catAx>
      <c:valAx>
        <c:axId val="27141711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1410840"/>
        <c:crosses val="autoZero"/>
        <c:crossBetween val="between"/>
      </c:valAx>
      <c:spPr>
        <a:noFill/>
        <a:ln w="25400">
          <a:noFill/>
        </a:ln>
      </c:spPr>
    </c:plotArea>
    <c:legend>
      <c:legendPos val="b"/>
      <c:layout>
        <c:manualLayout>
          <c:xMode val="edge"/>
          <c:yMode val="edge"/>
          <c:x val="0.28674080355340192"/>
          <c:y val="0.94680813834440902"/>
          <c:w val="0.41421053906723199"/>
          <c:h val="5.319186165559092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Структура власних надходжень загального фонду бюджету Мукачівської міської територіальної громади за січень - березень 2022 рік</a:t>
            </a:r>
          </a:p>
        </c:rich>
      </c:tx>
      <c:layout/>
      <c:overlay val="0"/>
      <c:spPr>
        <a:solidFill>
          <a:schemeClr val="bg1"/>
        </a:solid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2902015429889447"/>
          <c:y val="0.50127816863128793"/>
          <c:w val="0.59850503796961263"/>
          <c:h val="0.49633674488913726"/>
        </c:manualLayout>
      </c:layout>
      <c:pie3DChart>
        <c:varyColors val="1"/>
        <c:ser>
          <c:idx val="0"/>
          <c:order val="0"/>
          <c:dPt>
            <c:idx val="0"/>
            <c:bubble3D val="0"/>
            <c:explosion val="1"/>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94E-474C-BD2F-732422901B1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94E-474C-BD2F-732422901B1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94E-474C-BD2F-732422901B1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94E-474C-BD2F-732422901B1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94E-474C-BD2F-732422901B1D}"/>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94E-474C-BD2F-732422901B1D}"/>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94E-474C-BD2F-732422901B1D}"/>
              </c:ext>
            </c:extLst>
          </c:dPt>
          <c:dPt>
            <c:idx val="7"/>
            <c:bubble3D val="0"/>
            <c:extLst xmlns:c16r2="http://schemas.microsoft.com/office/drawing/2015/06/chart">
              <c:ext xmlns:c16="http://schemas.microsoft.com/office/drawing/2014/chart" uri="{C3380CC4-5D6E-409C-BE32-E72D297353CC}">
                <c16:uniqueId val="{0000000E-C94E-474C-BD2F-732422901B1D}"/>
              </c:ext>
            </c:extLst>
          </c:dPt>
          <c:dLbls>
            <c:dLbl>
              <c:idx val="0"/>
              <c:layout>
                <c:manualLayout>
                  <c:x val="4.0075920262033361E-2"/>
                  <c:y val="-2.6469220933182169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94E-474C-BD2F-732422901B1D}"/>
                </c:ext>
                <c:ext xmlns:c15="http://schemas.microsoft.com/office/drawing/2012/chart" uri="{CE6537A1-D6FC-4f65-9D91-7224C49458BB}">
                  <c15:spPr xmlns:c15="http://schemas.microsoft.com/office/drawing/2012/chart">
                    <a:prstGeom prst="rect">
                      <a:avLst/>
                    </a:prstGeom>
                  </c15:spPr>
                  <c15:layout/>
                </c:ext>
              </c:extLst>
            </c:dLbl>
            <c:dLbl>
              <c:idx val="1"/>
              <c:layout>
                <c:manualLayout>
                  <c:x val="-7.1515151515151504E-2"/>
                  <c:y val="0.23679272339478274"/>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94E-474C-BD2F-732422901B1D}"/>
                </c:ext>
                <c:ext xmlns:c15="http://schemas.microsoft.com/office/drawing/2012/chart" uri="{CE6537A1-D6FC-4f65-9D91-7224C49458BB}">
                  <c15:spPr xmlns:c15="http://schemas.microsoft.com/office/drawing/2012/chart">
                    <a:prstGeom prst="rect">
                      <a:avLst/>
                    </a:prstGeom>
                  </c15:spPr>
                  <c15:layout/>
                </c:ext>
              </c:extLst>
            </c:dLbl>
            <c:dLbl>
              <c:idx val="2"/>
              <c:layout>
                <c:manualLayout>
                  <c:x val="-0.16709940348365546"/>
                  <c:y val="0.13541246693275766"/>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C94E-474C-BD2F-732422901B1D}"/>
                </c:ext>
                <c:ext xmlns:c15="http://schemas.microsoft.com/office/drawing/2012/chart" uri="{CE6537A1-D6FC-4f65-9D91-7224C49458BB}">
                  <c15:spPr xmlns:c15="http://schemas.microsoft.com/office/drawing/2012/chart">
                    <a:prstGeom prst="rect">
                      <a:avLst/>
                    </a:prstGeom>
                  </c15:spPr>
                  <c15:layout/>
                </c:ext>
              </c:extLst>
            </c:dLbl>
            <c:dLbl>
              <c:idx val="3"/>
              <c:layout>
                <c:manualLayout>
                  <c:x val="-0.15721498449057505"/>
                  <c:y val="-4.9604332002878337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C94E-474C-BD2F-732422901B1D}"/>
                </c:ext>
                <c:ext xmlns:c15="http://schemas.microsoft.com/office/drawing/2012/chart" uri="{CE6537A1-D6FC-4f65-9D91-7224C49458BB}">
                  <c15:spPr xmlns:c15="http://schemas.microsoft.com/office/drawing/2012/chart">
                    <a:prstGeom prst="rect">
                      <a:avLst/>
                    </a:prstGeom>
                  </c15:spPr>
                  <c15:layout/>
                </c:ext>
              </c:extLst>
            </c:dLbl>
            <c:dLbl>
              <c:idx val="4"/>
              <c:layout>
                <c:manualLayout>
                  <c:x val="-8.5801256661099182E-2"/>
                  <c:y val="-0.16679494944788706"/>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C94E-474C-BD2F-732422901B1D}"/>
                </c:ext>
                <c:ext xmlns:c15="http://schemas.microsoft.com/office/drawing/2012/chart" uri="{CE6537A1-D6FC-4f65-9D91-7224C49458BB}">
                  <c15:spPr xmlns:c15="http://schemas.microsoft.com/office/drawing/2012/chart">
                    <a:prstGeom prst="rect">
                      <a:avLst/>
                    </a:prstGeom>
                  </c15:spPr>
                  <c15:layout/>
                </c:ext>
              </c:extLst>
            </c:dLbl>
            <c:dLbl>
              <c:idx val="5"/>
              <c:layout>
                <c:manualLayout>
                  <c:x val="0.12581894535910279"/>
                  <c:y val="-0.12393131331956286"/>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C94E-474C-BD2F-732422901B1D}"/>
                </c:ext>
                <c:ext xmlns:c15="http://schemas.microsoft.com/office/drawing/2012/chart" uri="{CE6537A1-D6FC-4f65-9D91-7224C49458BB}">
                  <c15:spPr xmlns:c15="http://schemas.microsoft.com/office/drawing/2012/chart">
                    <a:prstGeom prst="rect">
                      <a:avLst/>
                    </a:prstGeom>
                  </c15:spPr>
                  <c15:layout/>
                </c:ext>
              </c:extLst>
            </c:dLbl>
            <c:dLbl>
              <c:idx val="6"/>
              <c:layout>
                <c:manualLayout>
                  <c:x val="0.31049945120496303"/>
                  <c:y val="-0.1660855115004115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C94E-474C-BD2F-732422901B1D}"/>
                </c:ext>
                <c:ext xmlns:c15="http://schemas.microsoft.com/office/drawing/2012/chart" uri="{CE6537A1-D6FC-4f65-9D91-7224C49458BB}"/>
              </c:extLst>
            </c:dLbl>
            <c:dLbl>
              <c:idx val="7"/>
              <c:layout>
                <c:manualLayout>
                  <c:x val="0.21326633261751371"/>
                  <c:y val="-2.3039960241656183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E-C94E-474C-BD2F-732422901B1D}"/>
                </c:ext>
                <c:ext xmlns:c15="http://schemas.microsoft.com/office/drawing/2012/chart" uri="{CE6537A1-D6FC-4f65-9D91-7224C49458BB}">
                  <c15:spPr xmlns:c15="http://schemas.microsoft.com/office/drawing/2012/chart">
                    <a:prstGeom prst="rect">
                      <a:avLst/>
                    </a:prstGeom>
                  </c15:spPr>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'Стуктура ЗФ за Ікв 2022'!$C$12:$E$19</c:f>
              <c:multiLvlStrCache>
                <c:ptCount val="8"/>
                <c:lvl>
                  <c:pt idx="0">
                    <c:v>тис. грн.</c:v>
                  </c:pt>
                  <c:pt idx="1">
                    <c:v>тис. грн.</c:v>
                  </c:pt>
                  <c:pt idx="2">
                    <c:v>тис. грн.</c:v>
                  </c:pt>
                  <c:pt idx="3">
                    <c:v>тис. грн.</c:v>
                  </c:pt>
                  <c:pt idx="4">
                    <c:v>тис. грн.</c:v>
                  </c:pt>
                  <c:pt idx="5">
                    <c:v>тис. грн.</c:v>
                  </c:pt>
                  <c:pt idx="7">
                    <c:v>тис. грн.</c:v>
                  </c:pt>
                </c:lvl>
                <c:lvl>
                  <c:pt idx="0">
                    <c:v>156 919,1</c:v>
                  </c:pt>
                  <c:pt idx="1">
                    <c:v>46 564,9</c:v>
                  </c:pt>
                  <c:pt idx="2">
                    <c:v>278,4</c:v>
                  </c:pt>
                  <c:pt idx="3">
                    <c:v>565,4</c:v>
                  </c:pt>
                  <c:pt idx="4">
                    <c:v>6 982,0</c:v>
                  </c:pt>
                  <c:pt idx="5">
                    <c:v>3 916,4</c:v>
                  </c:pt>
                  <c:pt idx="7">
                    <c:v>3 235,5</c:v>
                  </c:pt>
                </c:lvl>
                <c:lvl>
                  <c:pt idx="0">
                    <c:v>Податок та збір на доходи фізичних осіб</c:v>
                  </c:pt>
                  <c:pt idx="1">
                    <c:v>Місцеві податки та збори, що сплачуються (перераховуються) згідно з ПКУ </c:v>
                  </c:pt>
                  <c:pt idx="2">
                    <c:v>Рентна плата та плата за використання інших природних ресурсів </c:v>
                  </c:pt>
                  <c:pt idx="3">
                    <c:v>Податок на прибуток підприємств комунальної власності</c:v>
                  </c:pt>
                  <c:pt idx="4">
                    <c:v>Акцизний податок з реалізації СГ роздрібної торгівлі підакцизних товарів</c:v>
                  </c:pt>
                  <c:pt idx="5">
                    <c:v>Акцизний податок з виробленого в Україні та ввезеного на митну територію України пального </c:v>
                  </c:pt>
                  <c:pt idx="7">
                    <c:v>Неподаткові надходження </c:v>
                  </c:pt>
                </c:lvl>
              </c:multiLvlStrCache>
            </c:multiLvlStrRef>
          </c:cat>
          <c:val>
            <c:numRef>
              <c:f>'Стуктура ЗФ за Ікв 2022'!$F$12:$F$19</c:f>
              <c:numCache>
                <c:formatCode>0.0%</c:formatCode>
                <c:ptCount val="8"/>
                <c:pt idx="0">
                  <c:v>0.71829112379881699</c:v>
                </c:pt>
                <c:pt idx="1">
                  <c:v>0.21314903253064499</c:v>
                </c:pt>
                <c:pt idx="2">
                  <c:v>1.2743652548707623E-3</c:v>
                </c:pt>
                <c:pt idx="3">
                  <c:v>2.5880966778158371E-3</c:v>
                </c:pt>
                <c:pt idx="4">
                  <c:v>3.1959835522656833E-2</c:v>
                </c:pt>
                <c:pt idx="5">
                  <c:v>1.7927169842585682E-2</c:v>
                </c:pt>
                <c:pt idx="7">
                  <c:v>1.4810376372609022E-2</c:v>
                </c:pt>
              </c:numCache>
            </c:numRef>
          </c:val>
          <c:extLst xmlns:c16r2="http://schemas.microsoft.com/office/drawing/2015/06/chart">
            <c:ext xmlns:c16="http://schemas.microsoft.com/office/drawing/2014/chart" uri="{C3380CC4-5D6E-409C-BE32-E72D297353CC}">
              <c16:uniqueId val="{0000000F-C94E-474C-BD2F-732422901B1D}"/>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доходів спеціального фонду  бюджету Мукачівської </a:t>
            </a:r>
          </a:p>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міської територіальної громади за січень - березень 2022 рік        </a:t>
            </a:r>
          </a:p>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(тис. грн.)</a:t>
            </a:r>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9163116720205451"/>
          <c:y val="0.5522544527963178"/>
          <c:w val="0.49539611638964937"/>
          <c:h val="0.44134202835666614"/>
        </c:manualLayout>
      </c:layout>
      <c:pie3DChart>
        <c:varyColors val="1"/>
        <c:ser>
          <c:idx val="0"/>
          <c:order val="0"/>
          <c:explosion val="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546-4CC8-8BE5-CFFD0E0AD2FD}"/>
              </c:ext>
            </c:extLst>
          </c:dPt>
          <c:dPt>
            <c:idx val="1"/>
            <c:bubble3D val="0"/>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546-4CC8-8BE5-CFFD0E0AD2FD}"/>
              </c:ext>
            </c:extLst>
          </c:dPt>
          <c:dPt>
            <c:idx val="2"/>
            <c:bubble3D val="0"/>
            <c:spPr>
              <a:solidFill>
                <a:schemeClr val="accent4">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546-4CC8-8BE5-CFFD0E0AD2FD}"/>
              </c:ext>
            </c:extLst>
          </c:dPt>
          <c:dPt>
            <c:idx val="3"/>
            <c:bubble3D val="0"/>
            <c:spPr>
              <a:solidFill>
                <a:schemeClr val="accent2">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546-4CC8-8BE5-CFFD0E0AD2F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546-4CC8-8BE5-CFFD0E0AD2FD}"/>
              </c:ext>
            </c:extLst>
          </c:dPt>
          <c:dPt>
            <c:idx val="5"/>
            <c:bubble3D val="0"/>
            <c:extLst xmlns:c16r2="http://schemas.microsoft.com/office/drawing/2015/06/chart">
              <c:ext xmlns:c16="http://schemas.microsoft.com/office/drawing/2014/chart" uri="{C3380CC4-5D6E-409C-BE32-E72D297353CC}">
                <c16:uniqueId val="{0000000A-7546-4CC8-8BE5-CFFD0E0AD2FD}"/>
              </c:ext>
            </c:extLst>
          </c:dPt>
          <c:dPt>
            <c:idx val="6"/>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C-7546-4CC8-8BE5-CFFD0E0AD2FD}"/>
              </c:ext>
            </c:extLst>
          </c:dPt>
          <c:dPt>
            <c:idx val="7"/>
            <c:bubble3D val="0"/>
            <c:extLst xmlns:c16r2="http://schemas.microsoft.com/office/drawing/2015/06/chart">
              <c:ext xmlns:c16="http://schemas.microsoft.com/office/drawing/2014/chart" uri="{C3380CC4-5D6E-409C-BE32-E72D297353CC}">
                <c16:uniqueId val="{0000000D-7546-4CC8-8BE5-CFFD0E0AD2FD}"/>
              </c:ext>
            </c:extLst>
          </c:dPt>
          <c:dLbls>
            <c:dLbl>
              <c:idx val="0"/>
              <c:layout>
                <c:manualLayout>
                  <c:x val="-1.9606723002466457E-2"/>
                  <c:y val="7.4131624956929001E-2"/>
                </c:manualLayout>
              </c:layout>
              <c:spPr>
                <a:noFill/>
                <a:ln w="25400">
                  <a:noFill/>
                </a:ln>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7546-4CC8-8BE5-CFFD0E0AD2FD}"/>
                </c:ext>
                <c:ext xmlns:c15="http://schemas.microsoft.com/office/drawing/2012/chart" uri="{CE6537A1-D6FC-4f65-9D91-7224C49458BB}">
                  <c15:spPr xmlns:c15="http://schemas.microsoft.com/office/drawing/2012/chart">
                    <a:prstGeom prst="rect">
                      <a:avLst/>
                    </a:prstGeom>
                  </c15:spPr>
                  <c15:layout/>
                </c:ext>
              </c:extLst>
            </c:dLbl>
            <c:dLbl>
              <c:idx val="1"/>
              <c:layout>
                <c:manualLayout>
                  <c:x val="-4.0108264184953196E-2"/>
                  <c:y val="-4.4654304759717822E-3"/>
                </c:manualLayout>
              </c:layout>
              <c:spPr>
                <a:noFill/>
                <a:ln w="25400">
                  <a:noFill/>
                </a:ln>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7546-4CC8-8BE5-CFFD0E0AD2FD}"/>
                </c:ext>
                <c:ext xmlns:c15="http://schemas.microsoft.com/office/drawing/2012/chart" uri="{CE6537A1-D6FC-4f65-9D91-7224C49458BB}">
                  <c15:spPr xmlns:c15="http://schemas.microsoft.com/office/drawing/2012/chart">
                    <a:prstGeom prst="rect">
                      <a:avLst/>
                    </a:prstGeom>
                  </c15:spPr>
                  <c15:layout/>
                </c:ext>
              </c:extLst>
            </c:dLbl>
            <c:dLbl>
              <c:idx val="2"/>
              <c:layout>
                <c:manualLayout>
                  <c:x val="-0.24666276779988078"/>
                  <c:y val="6.9981325267890943E-2"/>
                </c:manualLayout>
              </c:layout>
              <c:spPr>
                <a:noFill/>
                <a:ln w="25400">
                  <a:noFill/>
                </a:ln>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7546-4CC8-8BE5-CFFD0E0AD2FD}"/>
                </c:ext>
                <c:ext xmlns:c15="http://schemas.microsoft.com/office/drawing/2012/chart" uri="{CE6537A1-D6FC-4f65-9D91-7224C49458BB}">
                  <c15:spPr xmlns:c15="http://schemas.microsoft.com/office/drawing/2012/chart">
                    <a:prstGeom prst="rect">
                      <a:avLst/>
                    </a:prstGeom>
                  </c15:spPr>
                  <c15:layout/>
                </c:ext>
              </c:extLst>
            </c:dLbl>
            <c:dLbl>
              <c:idx val="3"/>
              <c:layout>
                <c:manualLayout>
                  <c:x val="-0.26594418969964601"/>
                  <c:y val="-0.23947761797198369"/>
                </c:manualLayout>
              </c:layout>
              <c:spPr>
                <a:noFill/>
                <a:ln w="25400">
                  <a:noFill/>
                </a:ln>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uk-UA"/>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7546-4CC8-8BE5-CFFD0E0AD2FD}"/>
                </c:ext>
                <c:ext xmlns:c15="http://schemas.microsoft.com/office/drawing/2012/chart" uri="{CE6537A1-D6FC-4f65-9D91-7224C49458BB}">
                  <c15:spPr xmlns:c15="http://schemas.microsoft.com/office/drawing/2012/chart">
                    <a:prstGeom prst="rect">
                      <a:avLst/>
                    </a:prstGeom>
                  </c15:spPr>
                  <c15:layout/>
                </c:ext>
              </c:extLst>
            </c:dLbl>
            <c:dLbl>
              <c:idx val="4"/>
              <c:layout>
                <c:manualLayout>
                  <c:x val="7.5657227453672704E-2"/>
                  <c:y val="-0.21585208928529956"/>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7546-4CC8-8BE5-CFFD0E0AD2FD}"/>
                </c:ext>
                <c:ext xmlns:c15="http://schemas.microsoft.com/office/drawing/2012/chart" uri="{CE6537A1-D6FC-4f65-9D91-7224C49458BB}">
                  <c15:layout/>
                </c:ext>
              </c:extLst>
            </c:dLbl>
            <c:dLbl>
              <c:idx val="5"/>
              <c:layout>
                <c:manualLayout>
                  <c:x val="0.14587254095929075"/>
                  <c:y val="-0.1811872705539036"/>
                </c:manualLayout>
              </c:layout>
              <c:tx>
                <c:rich>
                  <a:bodyPr/>
                  <a:lstStyle/>
                  <a:p>
                    <a:r>
                      <a:rPr lang="uk-UA"/>
                      <a:t>[ІМ’Я КАТЕГОРІЇ]</a:t>
                    </a:r>
                    <a:r>
                      <a:rPr lang="uk-UA" baseline="0"/>
                      <a:t>;</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7546-4CC8-8BE5-CFFD0E0AD2FD}"/>
                </c:ext>
                <c:ext xmlns:c15="http://schemas.microsoft.com/office/drawing/2012/chart" uri="{CE6537A1-D6FC-4f65-9D91-7224C49458BB}"/>
              </c:extLst>
            </c:dLbl>
            <c:dLbl>
              <c:idx val="6"/>
              <c:layout>
                <c:manualLayout>
                  <c:x val="0.34554153281970001"/>
                  <c:y val="-9.332125218545413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C-7546-4CC8-8BE5-CFFD0E0AD2FD}"/>
                </c:ext>
                <c:ext xmlns:c15="http://schemas.microsoft.com/office/drawing/2012/chart" uri="{CE6537A1-D6FC-4f65-9D91-7224C49458BB}">
                  <c15:layout/>
                </c:ext>
              </c:extLst>
            </c:dLbl>
            <c:dLbl>
              <c:idx val="7"/>
              <c:layout>
                <c:manualLayout>
                  <c:x val="0.29575775041036972"/>
                  <c:y val="-7.738026263734861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7546-4CC8-8BE5-CFFD0E0AD2FD}"/>
                </c:ext>
                <c:ext xmlns:c15="http://schemas.microsoft.com/office/drawing/2012/chart" uri="{CE6537A1-D6FC-4f65-9D91-7224C49458BB}"/>
              </c:extLst>
            </c:dLbl>
            <c:spPr>
              <a:noFill/>
              <a:ln w="2540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'Доходи спец.ф. за Ікв 2022 '!$C$12:$E$18</c:f>
              <c:multiLvlStrCache>
                <c:ptCount val="7"/>
                <c:lvl>
                  <c:pt idx="0">
                    <c:v>тис. грн.</c:v>
                  </c:pt>
                  <c:pt idx="1">
                    <c:v>тис. грн.</c:v>
                  </c:pt>
                  <c:pt idx="2">
                    <c:v>тис. грн.</c:v>
                  </c:pt>
                  <c:pt idx="3">
                    <c:v>тис. грн.</c:v>
                  </c:pt>
                  <c:pt idx="4">
                    <c:v>тис. грн.</c:v>
                  </c:pt>
                  <c:pt idx="6">
                    <c:v>тис. грн.</c:v>
                  </c:pt>
                </c:lvl>
                <c:lvl>
                  <c:pt idx="0">
                    <c:v>7 222,8</c:v>
                  </c:pt>
                  <c:pt idx="1">
                    <c:v>5 288,7</c:v>
                  </c:pt>
                  <c:pt idx="2">
                    <c:v>972,6</c:v>
                  </c:pt>
                  <c:pt idx="3">
                    <c:v>62,6</c:v>
                  </c:pt>
                  <c:pt idx="4">
                    <c:v>0,1</c:v>
                  </c:pt>
                  <c:pt idx="6">
                    <c:v>26,2</c:v>
                  </c:pt>
                </c:lvl>
                <c:lvl>
                  <c:pt idx="0">
                    <c:v>Власні надходження бюджетних установ</c:v>
                  </c:pt>
                  <c:pt idx="1">
                    <c:v>Кошти від продажу земельних ділянок несільськогосподарського призначення…</c:v>
                  </c:pt>
                  <c:pt idx="2">
                    <c:v>Кошти від відчуження майна, що належить Автономній Республіці Крим та майна, що перебуває в комунальній власності  </c:v>
                  </c:pt>
                  <c:pt idx="3">
                    <c:v>Цільові фонди, утворені органами місцевого самоврядування …</c:v>
                  </c:pt>
                  <c:pt idx="4">
                    <c:v>Грошові стягнення  за шкоду, заподіяну порушенням законодаства про ОНПС..</c:v>
                  </c:pt>
                  <c:pt idx="6">
                    <c:v>Екологічний податок</c:v>
                  </c:pt>
                </c:lvl>
              </c:multiLvlStrCache>
            </c:multiLvlStrRef>
          </c:cat>
          <c:val>
            <c:numRef>
              <c:f>'Доходи спец.ф. за Ікв 2022 '!$F$12:$F$18</c:f>
              <c:numCache>
                <c:formatCode>0.0%</c:formatCode>
                <c:ptCount val="7"/>
                <c:pt idx="0">
                  <c:v>0.53214469903484851</c:v>
                </c:pt>
                <c:pt idx="1">
                  <c:v>0.38964856700803058</c:v>
                </c:pt>
                <c:pt idx="2">
                  <c:v>7.1656966035511666E-2</c:v>
                </c:pt>
                <c:pt idx="3">
                  <c:v>4.6120975465998668E-3</c:v>
                </c:pt>
                <c:pt idx="4">
                  <c:v>0</c:v>
                </c:pt>
                <c:pt idx="6">
                  <c:v>1.9303028070433946E-3</c:v>
                </c:pt>
              </c:numCache>
            </c:numRef>
          </c:val>
          <c:extLst xmlns:c16r2="http://schemas.microsoft.com/office/drawing/2015/06/chart">
            <c:ext xmlns:c16="http://schemas.microsoft.com/office/drawing/2014/chart" uri="{C3380CC4-5D6E-409C-BE32-E72D297353CC}">
              <c16:uniqueId val="{0000000E-7546-4CC8-8BE5-CFFD0E0AD2FD}"/>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0.18306</cdr:x>
      <cdr:y>0.52835</cdr:y>
    </cdr:from>
    <cdr:to>
      <cdr:x>0.35855</cdr:x>
      <cdr:y>0.6438</cdr:y>
    </cdr:to>
    <cdr:sp macro="" textlink="">
      <cdr:nvSpPr>
        <cdr:cNvPr id="7" name="Прямокутник 6"/>
        <cdr:cNvSpPr/>
      </cdr:nvSpPr>
      <cdr:spPr>
        <a:xfrm xmlns:a="http://schemas.openxmlformats.org/drawingml/2006/main">
          <a:off x="1152525" y="1907337"/>
          <a:ext cx="1104900" cy="416763"/>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000">
              <a:solidFill>
                <a:schemeClr val="tx1"/>
              </a:solidFill>
              <a:latin typeface="Times New Roman" panose="02020603050405020304" pitchFamily="18" charset="0"/>
              <a:cs typeface="Times New Roman" panose="02020603050405020304" pitchFamily="18" charset="0"/>
            </a:rPr>
            <a:t>+ 36,7</a:t>
          </a:r>
          <a:r>
            <a:rPr lang="uk-UA" sz="1000" baseline="0">
              <a:solidFill>
                <a:schemeClr val="tx1"/>
              </a:solidFill>
              <a:latin typeface="Times New Roman" panose="02020603050405020304" pitchFamily="18" charset="0"/>
              <a:cs typeface="Times New Roman" panose="02020603050405020304" pitchFamily="18" charset="0"/>
            </a:rPr>
            <a:t> млн.грн.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+ 20,2 %</a:t>
          </a:r>
          <a:endParaRPr lang="uk-UA" sz="1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0.45291</cdr:x>
      <cdr:y>0.49793</cdr:y>
    </cdr:from>
    <cdr:to>
      <cdr:x>0.62033</cdr:x>
      <cdr:y>0.61582</cdr:y>
    </cdr:to>
    <cdr:sp macro="" textlink="">
      <cdr:nvSpPr>
        <cdr:cNvPr id="8" name="Прямокутник 7"/>
        <cdr:cNvSpPr/>
      </cdr:nvSpPr>
      <cdr:spPr>
        <a:xfrm xmlns:a="http://schemas.openxmlformats.org/drawingml/2006/main">
          <a:off x="2804103" y="2205392"/>
          <a:ext cx="1036539" cy="522151"/>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+ 13,0 млн. 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+ 23,5 %</a:t>
          </a:r>
          <a:endParaRPr lang="uk-UA" sz="1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0.71609</cdr:x>
      <cdr:y>0.53837</cdr:y>
    </cdr:from>
    <cdr:to>
      <cdr:x>0.88956</cdr:x>
      <cdr:y>0.62374</cdr:y>
    </cdr:to>
    <cdr:sp macro="" textlink="">
      <cdr:nvSpPr>
        <cdr:cNvPr id="9" name="Прямокутник 8"/>
        <cdr:cNvSpPr/>
      </cdr:nvSpPr>
      <cdr:spPr>
        <a:xfrm xmlns:a="http://schemas.openxmlformats.org/drawingml/2006/main">
          <a:off x="4508511" y="2030688"/>
          <a:ext cx="1092172" cy="321987"/>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- 2,5 млн. 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678F-E09C-4C69-88AD-144A0468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9943</Words>
  <Characters>5668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2022-01-13T11:11:00Z</dcterms:created>
  <dcterms:modified xsi:type="dcterms:W3CDTF">2022-04-15T08:50:00Z</dcterms:modified>
</cp:coreProperties>
</file>