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5"/>
      </w:tblGrid>
      <w:tr w:rsidR="00C634FE" w14:paraId="5AE4349F" w14:textId="77777777" w:rsidTr="00C634FE">
        <w:trPr>
          <w:trHeight w:val="30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3034" w14:textId="54569E8C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uk-UA"/>
              </w:rPr>
            </w:pPr>
            <w:r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uk-UA"/>
              </w:rPr>
              <w:drawing>
                <wp:inline distT="0" distB="0" distL="0" distR="0" wp14:anchorId="41E4BFAD" wp14:editId="725224B1">
                  <wp:extent cx="466090" cy="6464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64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82B5B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kern w:val="3"/>
                <w:sz w:val="28"/>
                <w:szCs w:val="28"/>
                <w:lang w:eastAsia="uk-UA"/>
              </w:rPr>
              <w:t>МУКАЧІВСЬКА МІСЬКА РАДА</w:t>
            </w:r>
          </w:p>
        </w:tc>
      </w:tr>
      <w:tr w:rsidR="00C634FE" w14:paraId="595EDA14" w14:textId="77777777" w:rsidTr="00C634FE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AD8C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Сектор з питань запобігання та виявлення корупції</w:t>
            </w:r>
          </w:p>
          <w:p w14:paraId="10E5C262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Мукачівської міської ради</w:t>
            </w:r>
          </w:p>
        </w:tc>
      </w:tr>
      <w:tr w:rsidR="00C634FE" w14:paraId="554EA4E1" w14:textId="77777777" w:rsidTr="00C634FE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1F1D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пл. Духновича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Олександра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, 2, м. Мукачево,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Закарпатська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обл.,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Україна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, 89600, тел.: 2-10-47,</w:t>
            </w:r>
          </w:p>
          <w:p w14:paraId="257359F4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en-US" w:eastAsia="zh-CN" w:bidi="hi-IN"/>
              </w:rPr>
              <w:t xml:space="preserve">e-mail:  </w:t>
            </w:r>
            <w:hyperlink r:id="rId5" w:history="1">
              <w:r>
                <w:rPr>
                  <w:rStyle w:val="a3"/>
                  <w:rFonts w:ascii="Times New Roman" w:eastAsia="SimSun" w:hAnsi="Times New Roman" w:cs="Times New Roman"/>
                  <w:bCs/>
                  <w:color w:val="111111"/>
                  <w:kern w:val="3"/>
                  <w:lang w:val="en-US" w:eastAsia="zh-CN" w:bidi="hi-IN"/>
                </w:rPr>
                <w:t>mvk@mukachevo-rada.gov.ua</w:t>
              </w:r>
            </w:hyperlink>
          </w:p>
        </w:tc>
      </w:tr>
      <w:tr w:rsidR="00C634FE" w14:paraId="09DCD906" w14:textId="77777777" w:rsidTr="00C634FE">
        <w:trPr>
          <w:trHeight w:val="533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3144" w14:textId="77777777" w:rsidR="00C634FE" w:rsidRDefault="00C634FE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C26DC43" w14:textId="77777777" w:rsidR="00C634FE" w:rsidRDefault="00C634FE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______________ № _________                         На № __________ від _________</w:t>
            </w:r>
          </w:p>
        </w:tc>
      </w:tr>
    </w:tbl>
    <w:p w14:paraId="787E771F" w14:textId="77777777" w:rsidR="00C634FE" w:rsidRDefault="00C634FE" w:rsidP="00C634FE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6ACC617" w14:textId="77777777" w:rsidR="00C634FE" w:rsidRDefault="00C634FE" w:rsidP="00C634F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D383480" w14:textId="77777777" w:rsidR="00C634FE" w:rsidRDefault="00C634FE" w:rsidP="00C634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Звіт сектору з питань запобігання та виявлення корупції  </w:t>
      </w:r>
    </w:p>
    <w:p w14:paraId="0042EBAB" w14:textId="5312E905" w:rsidR="00C634FE" w:rsidRDefault="00C634FE" w:rsidP="00C634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ІІ</w:t>
      </w:r>
      <w:r w:rsidR="00E86FD4">
        <w:rPr>
          <w:rFonts w:ascii="Times New Roman" w:hAnsi="Times New Roman" w:cs="Times New Roman"/>
          <w:sz w:val="40"/>
          <w:szCs w:val="40"/>
        </w:rPr>
        <w:t>І</w:t>
      </w:r>
      <w:r>
        <w:rPr>
          <w:rFonts w:ascii="Times New Roman" w:hAnsi="Times New Roman" w:cs="Times New Roman"/>
          <w:sz w:val="40"/>
          <w:szCs w:val="40"/>
        </w:rPr>
        <w:t xml:space="preserve"> квартал 2022 </w:t>
      </w:r>
    </w:p>
    <w:p w14:paraId="3AA3D1EB" w14:textId="0DCEE30C" w:rsidR="00791AB7" w:rsidRPr="00791AB7" w:rsidRDefault="00791AB7" w:rsidP="00791A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915693"/>
      <w:r>
        <w:rPr>
          <w:rFonts w:ascii="Times New Roman" w:hAnsi="Times New Roman" w:cs="Times New Roman"/>
          <w:sz w:val="28"/>
          <w:szCs w:val="28"/>
        </w:rPr>
        <w:t>1</w:t>
      </w:r>
      <w:r w:rsidR="005F3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Протягом третього кварталу </w:t>
      </w:r>
      <w:r>
        <w:rPr>
          <w:rFonts w:ascii="Times New Roman" w:hAnsi="Times New Roman" w:cs="Times New Roman"/>
          <w:sz w:val="28"/>
          <w:szCs w:val="28"/>
        </w:rPr>
        <w:t>постійн</w:t>
      </w:r>
      <w:r>
        <w:rPr>
          <w:rFonts w:ascii="Times New Roman" w:hAnsi="Times New Roman" w:cs="Times New Roman"/>
          <w:sz w:val="28"/>
          <w:szCs w:val="28"/>
        </w:rPr>
        <w:t xml:space="preserve">о та систематично </w:t>
      </w:r>
      <w:r>
        <w:rPr>
          <w:rFonts w:ascii="Times New Roman" w:hAnsi="Times New Roman" w:cs="Times New Roman"/>
          <w:sz w:val="28"/>
          <w:szCs w:val="28"/>
        </w:rPr>
        <w:t xml:space="preserve"> завідуючою Сектору  здійсню</w:t>
      </w:r>
      <w:r w:rsidR="005F3B1F">
        <w:rPr>
          <w:rFonts w:ascii="Times New Roman" w:hAnsi="Times New Roman" w:cs="Times New Roman"/>
          <w:sz w:val="28"/>
          <w:szCs w:val="28"/>
        </w:rPr>
        <w:t>валось</w:t>
      </w:r>
      <w:r>
        <w:rPr>
          <w:rFonts w:ascii="Times New Roman" w:hAnsi="Times New Roman" w:cs="Times New Roman"/>
          <w:sz w:val="28"/>
          <w:szCs w:val="28"/>
        </w:rPr>
        <w:t xml:space="preserve"> візування  проєктів актів з основної діяльності, адміністративно-господарських питань, кадрових питань (особового складу) залежно від їх видів</w:t>
      </w:r>
      <w:r w:rsidR="005F3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A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B1F">
        <w:rPr>
          <w:rFonts w:ascii="Times New Roman" w:hAnsi="Times New Roman" w:cs="Times New Roman"/>
          <w:sz w:val="28"/>
          <w:szCs w:val="28"/>
        </w:rPr>
        <w:t>Так,</w:t>
      </w:r>
      <w:r w:rsidR="00162749">
        <w:rPr>
          <w:rFonts w:ascii="Times New Roman" w:hAnsi="Times New Roman" w:cs="Times New Roman"/>
          <w:sz w:val="28"/>
          <w:szCs w:val="28"/>
        </w:rPr>
        <w:t xml:space="preserve"> </w:t>
      </w:r>
      <w:r w:rsidR="005F3B1F">
        <w:rPr>
          <w:rFonts w:ascii="Times New Roman" w:hAnsi="Times New Roman" w:cs="Times New Roman"/>
          <w:sz w:val="28"/>
          <w:szCs w:val="28"/>
        </w:rPr>
        <w:t>з</w:t>
      </w:r>
      <w:r w:rsidRPr="00791AB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третій квартал </w:t>
      </w:r>
      <w:r w:rsidRPr="00791AB7">
        <w:rPr>
          <w:rFonts w:ascii="Times New Roman" w:hAnsi="Times New Roman" w:cs="Times New Roman"/>
          <w:sz w:val="28"/>
          <w:szCs w:val="28"/>
        </w:rPr>
        <w:t xml:space="preserve"> Сектором з питань запобігання та виявлення корупції апарату Мукачівської міської ради та її виконавчого комітету здійснено аналіз,  вивчено  та завізовано  загальним рахунком </w:t>
      </w:r>
      <w:r>
        <w:rPr>
          <w:rFonts w:ascii="Times New Roman" w:hAnsi="Times New Roman" w:cs="Times New Roman"/>
          <w:sz w:val="28"/>
          <w:szCs w:val="28"/>
        </w:rPr>
        <w:t xml:space="preserve">767 </w:t>
      </w:r>
      <w:r w:rsidRPr="00791AB7">
        <w:rPr>
          <w:rFonts w:ascii="Times New Roman" w:hAnsi="Times New Roman" w:cs="Times New Roman"/>
          <w:sz w:val="28"/>
          <w:szCs w:val="28"/>
        </w:rPr>
        <w:t xml:space="preserve">проєктів  розпоряджень Мукачівського міського голови, рішень виконавчого комітету та рішень сесії Мукачівської міської ради.  </w:t>
      </w:r>
    </w:p>
    <w:p w14:paraId="1A4B9F2C" w14:textId="2F34904C" w:rsidR="00C634FE" w:rsidRDefault="00C634FE" w:rsidP="00C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6B7A">
        <w:rPr>
          <w:rFonts w:ascii="Times New Roman" w:hAnsi="Times New Roman" w:cs="Times New Roman"/>
          <w:sz w:val="28"/>
          <w:szCs w:val="28"/>
        </w:rPr>
        <w:t>Взято</w:t>
      </w:r>
      <w:r w:rsidR="007E6B7A" w:rsidRPr="007E6B7A">
        <w:rPr>
          <w:rFonts w:ascii="Times New Roman" w:hAnsi="Times New Roman" w:cs="Times New Roman"/>
          <w:sz w:val="28"/>
          <w:szCs w:val="28"/>
        </w:rPr>
        <w:t xml:space="preserve"> </w:t>
      </w:r>
      <w:r w:rsidR="007E6B7A" w:rsidRPr="007E6B7A">
        <w:rPr>
          <w:rFonts w:ascii="Times New Roman" w:hAnsi="Times New Roman" w:cs="Times New Roman"/>
          <w:sz w:val="28"/>
          <w:szCs w:val="28"/>
        </w:rPr>
        <w:t>участь у 2-денному онлайн-тренінгу «Методології управління корупційними ризиками  та порядок подання АКП», який проводився  Департаментом  запобігання та виявлення корупції Національного агентства з питань запобігання корупції.</w:t>
      </w:r>
      <w:r w:rsidR="005F3B1F" w:rsidRPr="005F3B1F">
        <w:rPr>
          <w:rFonts w:ascii="Times New Roman" w:hAnsi="Times New Roman" w:cs="Times New Roman"/>
          <w:sz w:val="28"/>
          <w:szCs w:val="28"/>
        </w:rPr>
        <w:t xml:space="preserve"> </w:t>
      </w:r>
      <w:r w:rsidR="005F3B1F" w:rsidRPr="007E6B7A">
        <w:rPr>
          <w:rFonts w:ascii="Times New Roman" w:hAnsi="Times New Roman" w:cs="Times New Roman"/>
          <w:sz w:val="28"/>
          <w:szCs w:val="28"/>
        </w:rPr>
        <w:t>За результатами його успішного проходження отримано сертифікат.</w:t>
      </w:r>
    </w:p>
    <w:p w14:paraId="591866D1" w14:textId="77777777" w:rsidR="005F3B1F" w:rsidRDefault="005F3B1F" w:rsidP="00C634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376755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C634FE">
        <w:rPr>
          <w:rFonts w:ascii="Times New Roman" w:hAnsi="Times New Roman" w:cs="Times New Roman"/>
          <w:sz w:val="28"/>
          <w:szCs w:val="28"/>
        </w:rPr>
        <w:t xml:space="preserve">. </w:t>
      </w:r>
      <w:r w:rsidR="00855572">
        <w:rPr>
          <w:rFonts w:ascii="Times New Roman" w:hAnsi="Times New Roman" w:cs="Times New Roman"/>
          <w:sz w:val="28"/>
          <w:szCs w:val="28"/>
        </w:rPr>
        <w:t xml:space="preserve">Взято участь </w:t>
      </w:r>
      <w:bookmarkEnd w:id="1"/>
      <w:r w:rsidR="007E6B7A" w:rsidRPr="007E6B7A">
        <w:rPr>
          <w:rFonts w:ascii="Times New Roman" w:hAnsi="Times New Roman" w:cs="Times New Roman"/>
          <w:sz w:val="28"/>
          <w:szCs w:val="28"/>
        </w:rPr>
        <w:t xml:space="preserve">другій щорічній конференції «Викривачі корупції в Україні: успіхи та виклики». Серед організаторів конференції – НАЗК, </w:t>
      </w:r>
      <w:hyperlink r:id="rId6" w:history="1">
        <w:r w:rsidR="007E6B7A" w:rsidRPr="007E6B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Міждисциплінарний науково-освітній центр протидії корупції </w:t>
        </w:r>
        <w:proofErr w:type="spellStart"/>
        <w:r w:rsidR="007E6B7A" w:rsidRPr="007E6B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НаУКМА</w:t>
        </w:r>
        <w:proofErr w:type="spellEnd"/>
      </w:hyperlink>
      <w:r w:rsidR="007E6B7A" w:rsidRPr="007E6B7A">
        <w:rPr>
          <w:rFonts w:ascii="Times New Roman" w:hAnsi="Times New Roman" w:cs="Times New Roman"/>
          <w:sz w:val="28"/>
          <w:szCs w:val="28"/>
        </w:rPr>
        <w:t xml:space="preserve">(ACREC) за підтримки </w:t>
      </w:r>
      <w:hyperlink r:id="rId7" w:history="1">
        <w:r w:rsidR="007E6B7A" w:rsidRPr="007E6B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Міжнародного фонду</w:t>
        </w:r>
        <w:r w:rsidR="007E6B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E6B7A" w:rsidRPr="007E6B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"Відродження"</w:t>
        </w:r>
      </w:hyperlink>
      <w:r w:rsidR="007E6B7A" w:rsidRPr="007E6B7A">
        <w:rPr>
          <w:rFonts w:ascii="Times New Roman" w:hAnsi="Times New Roman" w:cs="Times New Roman"/>
          <w:sz w:val="28"/>
          <w:szCs w:val="28"/>
        </w:rPr>
        <w:t>.</w:t>
      </w:r>
    </w:p>
    <w:p w14:paraId="0FFB9A8D" w14:textId="7D3A8837" w:rsidR="005F3B1F" w:rsidRPr="005F3B1F" w:rsidRDefault="005F3B1F" w:rsidP="005F3B1F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1F">
        <w:rPr>
          <w:rFonts w:ascii="Times New Roman" w:hAnsi="Times New Roman" w:cs="Times New Roman"/>
          <w:sz w:val="28"/>
          <w:szCs w:val="28"/>
        </w:rPr>
        <w:t xml:space="preserve">Взято участь </w:t>
      </w:r>
      <w:r w:rsidRPr="005F3B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обговоренні Розділу 3 Державної антикорупційної програми на 2023-2025 </w:t>
      </w:r>
      <w:proofErr w:type="spellStart"/>
      <w:r w:rsidRPr="005F3B1F">
        <w:rPr>
          <w:rFonts w:ascii="Times New Roman" w:eastAsia="Times New Roman" w:hAnsi="Times New Roman" w:cs="Times New Roman"/>
          <w:sz w:val="28"/>
          <w:szCs w:val="28"/>
          <w:lang w:eastAsia="uk-UA"/>
        </w:rPr>
        <w:t>рр</w:t>
      </w:r>
      <w:proofErr w:type="spellEnd"/>
      <w:r w:rsidRPr="005F3B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«ЗАБЕЗПЕЧЕННЯ НЕВІДВОРОТНОСТІ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5F3B1F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ІДПОВІДАЛЬНОСТІ ЗА КОРУПЦІЮ»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14:paraId="42CAA237" w14:textId="18E0BBE5" w:rsidR="005F3B1F" w:rsidRDefault="005F3B1F" w:rsidP="005F3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Взято участь </w:t>
      </w:r>
      <w:r w:rsidRPr="007E6B7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першому турі </w:t>
      </w:r>
      <w:r w:rsidRPr="007E6B7A">
        <w:rPr>
          <w:rFonts w:ascii="Times New Roman" w:hAnsi="Times New Roman" w:cs="Times New Roman"/>
          <w:sz w:val="28"/>
          <w:szCs w:val="28"/>
        </w:rPr>
        <w:t xml:space="preserve"> </w:t>
      </w:r>
      <w:r w:rsidRPr="005F3B1F">
        <w:rPr>
          <w:rFonts w:ascii="Times New Roman" w:hAnsi="Times New Roman" w:cs="Times New Roman"/>
          <w:sz w:val="28"/>
          <w:szCs w:val="28"/>
        </w:rPr>
        <w:t>дистанційн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F3B1F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3B1F">
        <w:rPr>
          <w:rFonts w:ascii="Times New Roman" w:hAnsi="Times New Roman" w:cs="Times New Roman"/>
          <w:sz w:val="28"/>
          <w:szCs w:val="28"/>
        </w:rPr>
        <w:t xml:space="preserve"> підвищення кваліфікації за загальною професійною (сертифікатною) програмою з питань запобігання корупції та забезпечення доброчесност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E6B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2246A" w14:textId="77777777" w:rsidR="005F3B1F" w:rsidRDefault="005F3B1F" w:rsidP="00C63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51B2EC" w14:textId="77777777" w:rsidR="007E6B7A" w:rsidRDefault="007E6B7A" w:rsidP="00C63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73248" w14:textId="718AFA39" w:rsidR="00C634FE" w:rsidRDefault="00C634FE" w:rsidP="00C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Ведеться постійний та систематичний  аналіз корупційних ризиків в тому  числі шляхом участі у засіданнях профільних депутатських комісій Мукачівської міської ради, у роботі постійно-діючих та тимчасових комісій, що утворені при Мукачівській міській раді та її виконавчих органах.</w:t>
      </w:r>
    </w:p>
    <w:p w14:paraId="47A0E115" w14:textId="14FB645B" w:rsidR="005F3B1F" w:rsidRPr="005F3B1F" w:rsidRDefault="00C634FE" w:rsidP="005F3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  На постійній основі проводиться консультаційна робота щодо  розвитку інституту  викривачів та  їх захисту</w:t>
      </w:r>
      <w:r w:rsidR="005F3B1F">
        <w:rPr>
          <w:rFonts w:ascii="Times New Roman" w:hAnsi="Times New Roman" w:cs="Times New Roman"/>
          <w:sz w:val="28"/>
          <w:szCs w:val="28"/>
        </w:rPr>
        <w:t xml:space="preserve">. На цій основі  було розроблено </w:t>
      </w:r>
      <w:r w:rsidR="005F3B1F" w:rsidRPr="005F3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 щодо  механізмів заохочення викривачів та формування культури повідомлення про можливі факти корупційних або пов’язаних із корупцією правопорушень, інших порушень Закону України</w:t>
      </w:r>
      <w:r w:rsidR="005F3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3B1F" w:rsidRPr="005F3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запобігання корупції»</w:t>
      </w:r>
    </w:p>
    <w:p w14:paraId="0C4FC890" w14:textId="77777777" w:rsidR="005F3B1F" w:rsidRDefault="005F3B1F" w:rsidP="008555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0EA939" w14:textId="46977AEB" w:rsidR="00855572" w:rsidRDefault="00855572" w:rsidP="0085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На постійній основі проводиться консультаційна</w:t>
      </w:r>
      <w:r w:rsidR="005F3B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3B1F">
        <w:rPr>
          <w:rFonts w:ascii="Times New Roman" w:hAnsi="Times New Roman" w:cs="Times New Roman"/>
          <w:sz w:val="28"/>
          <w:szCs w:val="28"/>
        </w:rPr>
        <w:t>роз»яснювальна</w:t>
      </w:r>
      <w:proofErr w:type="spellEnd"/>
      <w:r w:rsidR="005F3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робота щодо  запобігання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колабораційній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162749">
        <w:rPr>
          <w:rFonts w:ascii="Times New Roman" w:hAnsi="Times New Roman" w:cs="Times New Roman"/>
          <w:sz w:val="28"/>
          <w:szCs w:val="28"/>
        </w:rPr>
        <w:t>.</w:t>
      </w:r>
    </w:p>
    <w:p w14:paraId="3437E8FF" w14:textId="0F5654FA" w:rsidR="00C634FE" w:rsidRDefault="000C691B" w:rsidP="00C63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постійній основі здійснюється взаємодія Сектору зі спеціально уповноваженими суб’єктами у сфері протидії корупції </w:t>
      </w:r>
      <w:r w:rsidR="00855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250AE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E1F71" w14:textId="363E60D5" w:rsidR="00C634FE" w:rsidRDefault="000C691B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Постійно здійснюється консультаційна допомога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C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фінансового контролю. </w:t>
      </w:r>
    </w:p>
    <w:p w14:paraId="2ED91209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77E6B" w14:textId="08CAFBFC" w:rsidR="00162749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9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 постійній основі Сектор надає посадовим особам апарату Мукачівської міської ради та її виконавчим органам  методичну та консультаційну допомогу </w:t>
      </w:r>
      <w:r w:rsidR="00162749">
        <w:rPr>
          <w:rFonts w:ascii="Times New Roman" w:hAnsi="Times New Roman" w:cs="Times New Roman"/>
          <w:sz w:val="28"/>
          <w:szCs w:val="28"/>
        </w:rPr>
        <w:t xml:space="preserve">та проводить навчання </w:t>
      </w:r>
      <w:r>
        <w:rPr>
          <w:rFonts w:ascii="Times New Roman" w:hAnsi="Times New Roman" w:cs="Times New Roman"/>
          <w:sz w:val="28"/>
          <w:szCs w:val="28"/>
        </w:rPr>
        <w:t>щодо реалізації антикорупційного законодавства</w:t>
      </w:r>
      <w:r w:rsidR="000C69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 питань декларування</w:t>
      </w:r>
      <w:r w:rsidR="000C691B">
        <w:rPr>
          <w:rFonts w:ascii="Times New Roman" w:hAnsi="Times New Roman" w:cs="Times New Roman"/>
          <w:sz w:val="28"/>
          <w:szCs w:val="28"/>
        </w:rPr>
        <w:t xml:space="preserve">, з питань виявлення та запобігання конфлікту інтересів, щодо порядку взаємодії зі спеціально уповноваженими суб’єктами </w:t>
      </w:r>
      <w:r w:rsidR="000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сфері протидії корупції </w:t>
      </w:r>
      <w:r>
        <w:rPr>
          <w:rFonts w:ascii="Times New Roman" w:hAnsi="Times New Roman" w:cs="Times New Roman"/>
          <w:sz w:val="28"/>
          <w:szCs w:val="28"/>
        </w:rPr>
        <w:t>тощо.</w:t>
      </w:r>
      <w:r w:rsidR="00162749">
        <w:rPr>
          <w:rFonts w:ascii="Times New Roman" w:hAnsi="Times New Roman" w:cs="Times New Roman"/>
          <w:sz w:val="28"/>
          <w:szCs w:val="28"/>
        </w:rPr>
        <w:t xml:space="preserve"> Так</w:t>
      </w:r>
      <w:r w:rsidR="00FC3587">
        <w:rPr>
          <w:rFonts w:ascii="Times New Roman" w:hAnsi="Times New Roman" w:cs="Times New Roman"/>
          <w:sz w:val="28"/>
          <w:szCs w:val="28"/>
        </w:rPr>
        <w:t>,</w:t>
      </w:r>
      <w:r w:rsidR="00162749">
        <w:rPr>
          <w:rFonts w:ascii="Times New Roman" w:hAnsi="Times New Roman" w:cs="Times New Roman"/>
          <w:sz w:val="28"/>
          <w:szCs w:val="28"/>
        </w:rPr>
        <w:t xml:space="preserve"> було проведено в режимі онлайн, </w:t>
      </w:r>
      <w:proofErr w:type="spellStart"/>
      <w:r w:rsidR="00162749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162749">
        <w:rPr>
          <w:rFonts w:ascii="Times New Roman" w:hAnsi="Times New Roman" w:cs="Times New Roman"/>
          <w:sz w:val="28"/>
          <w:szCs w:val="28"/>
        </w:rPr>
        <w:t xml:space="preserve"> та у спосіб самопідготовки навчання за наступною тематикою :</w:t>
      </w:r>
    </w:p>
    <w:p w14:paraId="6F347A92" w14:textId="0615CFBB" w:rsidR="008225E0" w:rsidRDefault="008225E0" w:rsidP="0082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«Аналіз Закону України «</w:t>
      </w:r>
      <w:r w:rsidRPr="008225E0">
        <w:rPr>
          <w:rFonts w:ascii="Times New Roman" w:hAnsi="Times New Roman" w:cs="Times New Roman"/>
          <w:sz w:val="28"/>
          <w:szCs w:val="28"/>
        </w:rPr>
        <w:t>Про внесення змін до Закону України "Про запобігання корупції" щодо особливостей застосування законодавства у сфері запобігання корупції в умовах воєнного стану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4528394" w14:textId="1FE07961" w:rsidR="008225E0" w:rsidRDefault="008225E0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«Р</w:t>
      </w:r>
      <w:r w:rsidRPr="008225E0">
        <w:rPr>
          <w:rFonts w:ascii="Times New Roman" w:hAnsi="Times New Roman" w:cs="Times New Roman"/>
          <w:sz w:val="28"/>
          <w:szCs w:val="28"/>
        </w:rPr>
        <w:t>озуміння завдань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5E0">
        <w:rPr>
          <w:rFonts w:ascii="Times New Roman" w:hAnsi="Times New Roman" w:cs="Times New Roman"/>
          <w:sz w:val="28"/>
          <w:szCs w:val="28"/>
        </w:rPr>
        <w:t>функцій, повноважень скидаю систему антикорупційних органів України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FF26EF5" w14:textId="0D17BA45" w:rsidR="008225E0" w:rsidRDefault="008225E0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«Аналіз наказу </w:t>
      </w:r>
      <w:r w:rsidRPr="008225E0">
        <w:rPr>
          <w:rFonts w:ascii="Times New Roman" w:hAnsi="Times New Roman" w:cs="Times New Roman"/>
          <w:sz w:val="28"/>
          <w:szCs w:val="28"/>
        </w:rPr>
        <w:t xml:space="preserve">НАЗК № 200/22 від 26.08.2022 р, яким </w:t>
      </w:r>
      <w:proofErr w:type="spellStart"/>
      <w:r w:rsidRPr="008225E0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8225E0">
        <w:rPr>
          <w:rFonts w:ascii="Times New Roman" w:hAnsi="Times New Roman" w:cs="Times New Roman"/>
          <w:sz w:val="28"/>
          <w:szCs w:val="28"/>
        </w:rPr>
        <w:t xml:space="preserve">  зміни в Порядок проведення повної перевірки декларації особи, уповноваженої на виконання функцій держави або місцевого самоврядування (наказ НАЗК від  29.01.2021  № 26/21.)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2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0ABE5" w14:textId="76C9E56B" w:rsidR="008427D2" w:rsidRDefault="008427D2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« Корупційні ризики в системі контролю за ро</w:t>
      </w:r>
      <w:r w:rsidR="008225E0">
        <w:rPr>
          <w:rFonts w:ascii="Times New Roman" w:hAnsi="Times New Roman" w:cs="Times New Roman"/>
          <w:sz w:val="28"/>
          <w:szCs w:val="28"/>
        </w:rPr>
        <w:t>зробкою і затвердженням містобудівної документації»;</w:t>
      </w:r>
    </w:p>
    <w:p w14:paraId="7CAFE2AA" w14:textId="3C449AD0" w:rsidR="00162749" w:rsidRDefault="00162749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</w:t>
      </w:r>
      <w:r w:rsidRPr="00162749">
        <w:rPr>
          <w:rFonts w:ascii="Times New Roman" w:hAnsi="Times New Roman" w:cs="Times New Roman"/>
          <w:sz w:val="28"/>
          <w:szCs w:val="28"/>
        </w:rPr>
        <w:t>Стратегічний аналіз корупційних ризиків: Корупційні ризики при управлінні комунальними підприємствами»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A10C4E" w14:textId="41513276" w:rsidR="00C634FE" w:rsidRDefault="00162749" w:rsidP="00C63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«Особливості реалізації антикорупційної політики ММР у військовий час. Гарантії захисту прав викривачів»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14:paraId="03A6BEC9" w14:textId="4DAA360B" w:rsidR="00162749" w:rsidRDefault="00162749" w:rsidP="001627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- «Щ</w:t>
      </w:r>
      <w:r w:rsidRPr="001627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 таке корупція? Вплив та вимірювання корупції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1627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Культура-етика-доброчесність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1627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1627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антикорупція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</w:t>
      </w:r>
      <w:r w:rsidR="008427D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тощо.</w:t>
      </w:r>
    </w:p>
    <w:p w14:paraId="5161C3C8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0B962" w14:textId="2EBC3A50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Здійснено розгляд звернень та запитів,  </w:t>
      </w:r>
      <w:r>
        <w:rPr>
          <w:rFonts w:ascii="Times New Roman" w:hAnsi="Times New Roman" w:cs="Times New Roman"/>
          <w:sz w:val="28"/>
          <w:szCs w:val="28"/>
        </w:rPr>
        <w:t>а всього (за період І</w:t>
      </w:r>
      <w:r w:rsidR="000C691B">
        <w:rPr>
          <w:rFonts w:ascii="Times New Roman" w:hAnsi="Times New Roman" w:cs="Times New Roman"/>
          <w:sz w:val="28"/>
          <w:szCs w:val="28"/>
        </w:rPr>
        <w:t>І</w:t>
      </w:r>
      <w:r w:rsidR="00FC358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кварталу 2022) розглянуто </w:t>
      </w:r>
      <w:r w:rsidR="001627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0C691B">
        <w:rPr>
          <w:rFonts w:ascii="Times New Roman" w:hAnsi="Times New Roman" w:cs="Times New Roman"/>
          <w:sz w:val="28"/>
          <w:szCs w:val="28"/>
        </w:rPr>
        <w:t>ня</w:t>
      </w:r>
      <w:r w:rsidR="00162749">
        <w:rPr>
          <w:rFonts w:ascii="Times New Roman" w:hAnsi="Times New Roman" w:cs="Times New Roman"/>
          <w:sz w:val="28"/>
          <w:szCs w:val="28"/>
        </w:rPr>
        <w:t xml:space="preserve"> та направлено відповіді</w:t>
      </w:r>
      <w:r w:rsidR="00FC3587">
        <w:rPr>
          <w:rFonts w:ascii="Times New Roman" w:hAnsi="Times New Roman" w:cs="Times New Roman"/>
          <w:sz w:val="28"/>
          <w:szCs w:val="28"/>
        </w:rPr>
        <w:t xml:space="preserve"> ініціаторам запиту</w:t>
      </w:r>
      <w:r w:rsidR="00162749">
        <w:rPr>
          <w:rFonts w:ascii="Times New Roman" w:hAnsi="Times New Roman" w:cs="Times New Roman"/>
          <w:sz w:val="28"/>
          <w:szCs w:val="28"/>
        </w:rPr>
        <w:t>.</w:t>
      </w:r>
      <w:r w:rsidR="000C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7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еред </w:t>
      </w:r>
      <w:r w:rsidR="00162749">
        <w:rPr>
          <w:rFonts w:ascii="Times New Roman" w:hAnsi="Times New Roman" w:cs="Times New Roman"/>
          <w:sz w:val="28"/>
          <w:szCs w:val="28"/>
        </w:rPr>
        <w:lastRenderedPageBreak/>
        <w:t xml:space="preserve">звернень </w:t>
      </w:r>
      <w:r>
        <w:rPr>
          <w:rFonts w:ascii="Times New Roman" w:hAnsi="Times New Roman" w:cs="Times New Roman"/>
          <w:sz w:val="28"/>
          <w:szCs w:val="28"/>
        </w:rPr>
        <w:t xml:space="preserve">повідомлень про корупційні діяння та діяння пов'язані з корупцією щодо посадових осіб Мукачівської міської ради та її виконавчих органів не було. А також протягом  </w:t>
      </w:r>
      <w:r w:rsidR="000C691B">
        <w:rPr>
          <w:rFonts w:ascii="Times New Roman" w:hAnsi="Times New Roman" w:cs="Times New Roman"/>
          <w:sz w:val="28"/>
          <w:szCs w:val="28"/>
        </w:rPr>
        <w:t>ІІ</w:t>
      </w:r>
      <w:r w:rsidR="00162749">
        <w:rPr>
          <w:rFonts w:ascii="Times New Roman" w:hAnsi="Times New Roman" w:cs="Times New Roman"/>
          <w:sz w:val="28"/>
          <w:szCs w:val="28"/>
        </w:rPr>
        <w:t>І</w:t>
      </w:r>
      <w:r w:rsidR="000C691B">
        <w:rPr>
          <w:rFonts w:ascii="Times New Roman" w:hAnsi="Times New Roman" w:cs="Times New Roman"/>
          <w:sz w:val="28"/>
          <w:szCs w:val="28"/>
        </w:rPr>
        <w:t xml:space="preserve"> кварталу 2022 </w:t>
      </w:r>
      <w:r>
        <w:rPr>
          <w:rFonts w:ascii="Times New Roman" w:hAnsi="Times New Roman" w:cs="Times New Roman"/>
          <w:sz w:val="28"/>
          <w:szCs w:val="28"/>
        </w:rPr>
        <w:t xml:space="preserve"> не було зафіксовано випадків неетичної поведінки або дискримінації щодо посадових осіб Мукачівської міської ради та її виконавчих органів.</w:t>
      </w:r>
    </w:p>
    <w:p w14:paraId="66F4A364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D1569" w14:textId="651D6562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. На постійній основі  приймається участь в конференціях, семінарах, нарадах з питань  антикорупційної діяльності  загалом та уповноваженого ОМС зокрема. </w:t>
      </w:r>
    </w:p>
    <w:p w14:paraId="33C7441B" w14:textId="7E8CA209" w:rsidR="000C691B" w:rsidRDefault="000C691B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C0697" w14:textId="3050A811" w:rsidR="000C691B" w:rsidRDefault="000C691B" w:rsidP="000C69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. На постійній основі  приймається участь в засіданнях виконавчого  комітету та сесіях ММР з метою запобігання</w:t>
      </w:r>
      <w:r w:rsidR="0096220F">
        <w:rPr>
          <w:rFonts w:ascii="Times New Roman" w:hAnsi="Times New Roman" w:cs="Times New Roman"/>
          <w:sz w:val="28"/>
          <w:szCs w:val="28"/>
        </w:rPr>
        <w:t xml:space="preserve"> виникненню </w:t>
      </w:r>
      <w:r>
        <w:rPr>
          <w:rFonts w:ascii="Times New Roman" w:hAnsi="Times New Roman" w:cs="Times New Roman"/>
          <w:sz w:val="28"/>
          <w:szCs w:val="28"/>
        </w:rPr>
        <w:t xml:space="preserve">конфлікту інтересів під час процедури голосування. </w:t>
      </w:r>
    </w:p>
    <w:p w14:paraId="1205C266" w14:textId="77777777" w:rsidR="000C691B" w:rsidRDefault="000C691B" w:rsidP="000C69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B2E12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3229C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38BBE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4E664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7799A" w14:textId="2BB7F342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Завідувачка сектору                                                             </w:t>
      </w:r>
      <w:r w:rsidR="00FC35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Наталія КІЯН</w:t>
      </w:r>
    </w:p>
    <w:p w14:paraId="4B30B261" w14:textId="0478664D" w:rsidR="00C634FE" w:rsidRDefault="00FC3587" w:rsidP="00C634FE">
      <w:r>
        <w:t xml:space="preserve">  </w:t>
      </w:r>
    </w:p>
    <w:p w14:paraId="5D6EB110" w14:textId="77777777" w:rsidR="00291583" w:rsidRDefault="00291583"/>
    <w:sectPr w:rsidR="00291583" w:rsidSect="005F3B1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D7"/>
    <w:rsid w:val="000C691B"/>
    <w:rsid w:val="00162749"/>
    <w:rsid w:val="00291583"/>
    <w:rsid w:val="005F3B1F"/>
    <w:rsid w:val="00625207"/>
    <w:rsid w:val="00791AB7"/>
    <w:rsid w:val="007E6B7A"/>
    <w:rsid w:val="008225E0"/>
    <w:rsid w:val="008427D2"/>
    <w:rsid w:val="00855572"/>
    <w:rsid w:val="008A59D7"/>
    <w:rsid w:val="0096220F"/>
    <w:rsid w:val="00C634FE"/>
    <w:rsid w:val="00E86FD4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C2B"/>
  <w15:chartTrackingRefBased/>
  <w15:docId w15:val="{D1B62CAE-6100-4869-B012-F9102B6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F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4F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E6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rf.ukraine/?__cft__%5b0%5d=AZX5nSgOvQ15lklY5Pl0m3dctfUsVD8fE8rk8Wx7svV0xbqsgebm3OJd6SzX1FzJ2QYXllV1ypaKEcjptF8C7nTkJ3QJcK47mTMf4Zp3JJPma3781GxzGyOP8DOLdvb5odM&amp;__tn__=k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crec.ua/?__cft__%5b0%5d=AZX5nSgOvQ15lklY5Pl0m3dctfUsVD8fE8rk8Wx7svV0xbqsgebm3OJd6SzX1FzJ2QYXllV1ypaKEcjptF8C7nTkJ3QJcK47mTMf4Zp3JJPma3781GxzGyOP8DOLdvb5odM&amp;__tn__=kK-R" TargetMode="External"/><Relationship Id="rId5" Type="http://schemas.openxmlformats.org/officeDocument/2006/relationships/hyperlink" Target="mailto:mvk@mukachevo-rada.gov.u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3673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Kiyan-Nataliya</dc:creator>
  <cp:keywords/>
  <dc:description/>
  <cp:lastModifiedBy>Kiyan-Nataliya</cp:lastModifiedBy>
  <cp:revision>6</cp:revision>
  <dcterms:created xsi:type="dcterms:W3CDTF">2022-07-15T09:14:00Z</dcterms:created>
  <dcterms:modified xsi:type="dcterms:W3CDTF">2022-10-11T08:57:00Z</dcterms:modified>
</cp:coreProperties>
</file>