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747565" w14:paraId="549293B6" w14:textId="77777777" w:rsidTr="00747565">
        <w:trPr>
          <w:trHeight w:val="30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E78C" w14:textId="77777777" w:rsidR="00747565" w:rsidRDefault="00747565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/>
                <w:noProof/>
                <w:kern w:val="3"/>
                <w:sz w:val="24"/>
                <w:szCs w:val="24"/>
                <w:lang w:eastAsia="uk-UA"/>
              </w:rPr>
            </w:pPr>
            <w:r>
              <w:rPr>
                <w:rFonts w:ascii="Times New Roman" w:eastAsia="SimSun" w:hAnsi="Times New Roman"/>
                <w:noProof/>
                <w:kern w:val="3"/>
                <w:sz w:val="24"/>
                <w:szCs w:val="24"/>
                <w:lang w:eastAsia="uk-UA"/>
              </w:rPr>
              <w:drawing>
                <wp:inline distT="0" distB="0" distL="0" distR="0" wp14:anchorId="6985B34F" wp14:editId="493CBE6E">
                  <wp:extent cx="466725" cy="6477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8DDD1" w14:textId="77777777" w:rsidR="00747565" w:rsidRDefault="00747565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b/>
                <w:noProof/>
                <w:kern w:val="3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747565" w14:paraId="27EC072C" w14:textId="77777777" w:rsidTr="00747565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7F77" w14:textId="77777777" w:rsidR="00747565" w:rsidRDefault="00747565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36DBC39C" w14:textId="77777777" w:rsidR="00747565" w:rsidRDefault="00747565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747565" w14:paraId="574DAF2D" w14:textId="77777777" w:rsidTr="00747565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F21C" w14:textId="77777777" w:rsidR="00747565" w:rsidRDefault="00747565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/>
                <w:bCs/>
                <w:color w:val="111111"/>
                <w:kern w:val="3"/>
                <w:lang w:val="ru-RU" w:eastAsia="zh-CN" w:bidi="hi-IN"/>
              </w:rPr>
            </w:pPr>
            <w:r>
              <w:rPr>
                <w:rFonts w:ascii="Times New Roman" w:eastAsia="SimSun" w:hAnsi="Times New Roman"/>
                <w:bCs/>
                <w:color w:val="111111"/>
                <w:kern w:val="3"/>
                <w:lang w:val="ru-RU" w:eastAsia="zh-CN" w:bidi="hi-IN"/>
              </w:rPr>
              <w:t>пл. Духновича Олександра, 2, м. Мукачево, Закарпатська обл., Україна, 89600, тел.: 2-10-47,</w:t>
            </w:r>
          </w:p>
          <w:p w14:paraId="24E3EED2" w14:textId="77777777" w:rsidR="00747565" w:rsidRDefault="00747565">
            <w:pPr>
              <w:suppressAutoHyphens/>
              <w:autoSpaceDN w:val="0"/>
              <w:spacing w:after="0" w:line="252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bCs/>
                <w:color w:val="111111"/>
                <w:kern w:val="3"/>
                <w:lang w:val="ru-RU"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111111"/>
                <w:kern w:val="3"/>
                <w:lang w:val="en-US" w:eastAsia="zh-CN" w:bidi="hi-IN"/>
              </w:rPr>
              <w:t xml:space="preserve">e-mail:  </w:t>
            </w:r>
            <w:hyperlink r:id="rId5" w:history="1">
              <w:r>
                <w:rPr>
                  <w:rStyle w:val="a3"/>
                  <w:rFonts w:ascii="Times New Roman" w:eastAsia="SimSun" w:hAnsi="Times New Roman"/>
                  <w:bCs/>
                  <w:color w:val="111111"/>
                  <w:kern w:val="3"/>
                  <w:lang w:val="en-US" w:eastAsia="zh-CN" w:bidi="hi-IN"/>
                </w:rPr>
                <w:t>mvk@mukachevo-rada.gov.ua</w:t>
              </w:r>
            </w:hyperlink>
          </w:p>
        </w:tc>
      </w:tr>
      <w:tr w:rsidR="00747565" w14:paraId="03FA98BA" w14:textId="77777777" w:rsidTr="00747565">
        <w:trPr>
          <w:trHeight w:val="533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36B9" w14:textId="77777777" w:rsidR="00747565" w:rsidRDefault="00747565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52AE4E31" w14:textId="77777777" w:rsidR="00747565" w:rsidRDefault="00747565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3FC1D2C4" w14:textId="77777777" w:rsidR="00747565" w:rsidRDefault="00747565" w:rsidP="0074756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09BF6FB7" w14:textId="77777777" w:rsidR="00747565" w:rsidRDefault="00747565" w:rsidP="0074756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102D700A" w14:textId="77777777" w:rsidR="00747565" w:rsidRDefault="00747565" w:rsidP="0074756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Звіт сектору з питань запобігання та виявлення корупції  </w:t>
      </w:r>
    </w:p>
    <w:p w14:paraId="3A2FD7B8" w14:textId="0DE7B2AA" w:rsidR="00747565" w:rsidRDefault="00747565" w:rsidP="0074756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 </w:t>
      </w:r>
      <w:r w:rsidR="006B43BD"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 xml:space="preserve"> квартал 202</w:t>
      </w:r>
      <w:r w:rsidR="006B43BD">
        <w:rPr>
          <w:rFonts w:ascii="Times New Roman" w:hAnsi="Times New Roman"/>
          <w:sz w:val="40"/>
          <w:szCs w:val="40"/>
        </w:rPr>
        <w:t>4</w:t>
      </w:r>
    </w:p>
    <w:p w14:paraId="58738E80" w14:textId="5F9A1785" w:rsidR="00747565" w:rsidRDefault="00747565" w:rsidP="00747565">
      <w:pPr>
        <w:jc w:val="both"/>
        <w:rPr>
          <w:rFonts w:ascii="Times New Roman" w:hAnsi="Times New Roman"/>
          <w:sz w:val="28"/>
          <w:szCs w:val="28"/>
        </w:rPr>
      </w:pPr>
      <w:bookmarkStart w:id="0" w:name="_Hlk100915693"/>
      <w:r>
        <w:rPr>
          <w:rFonts w:ascii="Times New Roman" w:hAnsi="Times New Roman"/>
          <w:sz w:val="28"/>
          <w:szCs w:val="28"/>
        </w:rPr>
        <w:t xml:space="preserve">1. Протягом </w:t>
      </w:r>
      <w:r w:rsidR="006B43BD">
        <w:rPr>
          <w:rFonts w:ascii="Times New Roman" w:hAnsi="Times New Roman"/>
          <w:sz w:val="28"/>
          <w:szCs w:val="28"/>
        </w:rPr>
        <w:t>першого</w:t>
      </w:r>
      <w:r>
        <w:rPr>
          <w:rFonts w:ascii="Times New Roman" w:hAnsi="Times New Roman"/>
          <w:sz w:val="28"/>
          <w:szCs w:val="28"/>
        </w:rPr>
        <w:t xml:space="preserve"> кварталу на постійній основі  сектором з питань запобігання та виявлення корупції апарату Мукачівської міської ради та її виконавчого комітету  ( далі - Сектор )  здійснювалось візування  проєктів актів з основної діяльності, адміністративно-господарських питань, кадрових питань (особового складу) залежно від їх видів.   Так, за </w:t>
      </w:r>
      <w:r w:rsidR="009F6E70">
        <w:rPr>
          <w:rFonts w:ascii="Times New Roman" w:hAnsi="Times New Roman"/>
          <w:sz w:val="28"/>
          <w:szCs w:val="28"/>
        </w:rPr>
        <w:t xml:space="preserve">перший </w:t>
      </w:r>
      <w:r>
        <w:rPr>
          <w:rFonts w:ascii="Times New Roman" w:hAnsi="Times New Roman"/>
          <w:sz w:val="28"/>
          <w:szCs w:val="28"/>
        </w:rPr>
        <w:t xml:space="preserve">квартал  Сектором здійснено аналіз,  вивчено  та завізовано  загальним рахунком </w:t>
      </w:r>
      <w:r w:rsidR="006B43B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проєкт  розпоряджень Мукачівського міського голови, рішень виконавчого комітету та рішень сесії Мукачівської міської ради.  </w:t>
      </w:r>
    </w:p>
    <w:p w14:paraId="17C8D308" w14:textId="60C65232" w:rsidR="006B43BD" w:rsidRDefault="00747565" w:rsidP="0074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43BD">
        <w:rPr>
          <w:rFonts w:ascii="Times New Roman" w:hAnsi="Times New Roman"/>
          <w:sz w:val="28"/>
          <w:szCs w:val="28"/>
        </w:rPr>
        <w:t xml:space="preserve"> У відповідності до вимог Закону України « Про запобігання корупції» ( далі -Закон ) Сектором забезпечено проведення кампанії </w:t>
      </w:r>
      <w:r w:rsidR="006B43BD" w:rsidRPr="00A60C75">
        <w:rPr>
          <w:rFonts w:ascii="Times New Roman" w:hAnsi="Times New Roman"/>
          <w:b/>
          <w:bCs/>
          <w:sz w:val="28"/>
          <w:szCs w:val="28"/>
        </w:rPr>
        <w:t>декларування 2021-2022</w:t>
      </w:r>
      <w:r w:rsidR="006B43BD">
        <w:rPr>
          <w:rFonts w:ascii="Times New Roman" w:hAnsi="Times New Roman"/>
          <w:sz w:val="28"/>
          <w:szCs w:val="28"/>
        </w:rPr>
        <w:t xml:space="preserve"> .</w:t>
      </w:r>
    </w:p>
    <w:p w14:paraId="0F1A09BA" w14:textId="3965B6B9" w:rsidR="006B43BD" w:rsidRPr="00A60C75" w:rsidRDefault="006B43BD" w:rsidP="006B43B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6B43BD">
        <w:rPr>
          <w:rFonts w:ascii="Times New Roman" w:hAnsi="Times New Roman"/>
          <w:sz w:val="28"/>
          <w:szCs w:val="28"/>
        </w:rPr>
        <w:t xml:space="preserve">. У відповідності до вимог Закону Сектором забезпечено проведення </w:t>
      </w:r>
      <w:r w:rsidRPr="00A60C75">
        <w:rPr>
          <w:rFonts w:ascii="Times New Roman" w:hAnsi="Times New Roman"/>
          <w:b/>
          <w:bCs/>
          <w:sz w:val="28"/>
          <w:szCs w:val="28"/>
        </w:rPr>
        <w:t>кампанії декларування 2023.</w:t>
      </w:r>
    </w:p>
    <w:p w14:paraId="32907524" w14:textId="70649CCF" w:rsidR="008957C8" w:rsidRDefault="006B43BD" w:rsidP="006B4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 метою забезпечення проведення кампаній декларування 202-2022, 2023 було проведено як онлайн,  так офлайн  ряд  </w:t>
      </w:r>
      <w:bookmarkStart w:id="1" w:name="_Hlk116376755"/>
      <w:bookmarkEnd w:id="0"/>
      <w:r w:rsidR="00747565">
        <w:rPr>
          <w:rFonts w:ascii="Times New Roman" w:hAnsi="Times New Roman"/>
          <w:sz w:val="28"/>
          <w:szCs w:val="28"/>
        </w:rPr>
        <w:t>тренінг</w:t>
      </w:r>
      <w:r>
        <w:rPr>
          <w:rFonts w:ascii="Times New Roman" w:hAnsi="Times New Roman"/>
          <w:sz w:val="28"/>
          <w:szCs w:val="28"/>
        </w:rPr>
        <w:t xml:space="preserve">ів </w:t>
      </w:r>
      <w:r w:rsidR="008957C8">
        <w:rPr>
          <w:rFonts w:ascii="Times New Roman" w:hAnsi="Times New Roman"/>
          <w:sz w:val="28"/>
          <w:szCs w:val="28"/>
        </w:rPr>
        <w:t xml:space="preserve"> та навчань.</w:t>
      </w:r>
    </w:p>
    <w:p w14:paraId="68ED30C8" w14:textId="7296CE5F" w:rsidR="008957C8" w:rsidRDefault="008957C8" w:rsidP="00747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7565">
        <w:rPr>
          <w:rFonts w:ascii="Times New Roman" w:hAnsi="Times New Roman"/>
          <w:sz w:val="28"/>
          <w:szCs w:val="28"/>
        </w:rPr>
        <w:t xml:space="preserve">.Проведено навчання  та вивчення Методичних </w:t>
      </w:r>
      <w:r w:rsidR="00A60C75">
        <w:rPr>
          <w:rFonts w:ascii="Times New Roman" w:hAnsi="Times New Roman"/>
          <w:sz w:val="28"/>
          <w:szCs w:val="28"/>
        </w:rPr>
        <w:t xml:space="preserve"> </w:t>
      </w:r>
      <w:r w:rsidR="00747565">
        <w:rPr>
          <w:rFonts w:ascii="Times New Roman" w:hAnsi="Times New Roman"/>
          <w:sz w:val="28"/>
          <w:szCs w:val="28"/>
        </w:rPr>
        <w:t xml:space="preserve">рекомендацій НАЗК </w:t>
      </w:r>
      <w:r w:rsidR="00A60C75">
        <w:rPr>
          <w:rFonts w:ascii="Times New Roman" w:hAnsi="Times New Roman"/>
          <w:sz w:val="28"/>
          <w:szCs w:val="28"/>
        </w:rPr>
        <w:t xml:space="preserve">за посиланням </w:t>
      </w:r>
      <w:hyperlink r:id="rId6" w:history="1">
        <w:r w:rsidR="00A60C75" w:rsidRPr="00677416">
          <w:rPr>
            <w:rStyle w:val="a3"/>
            <w:rFonts w:ascii="Times New Roman" w:hAnsi="Times New Roman"/>
            <w:sz w:val="28"/>
            <w:szCs w:val="28"/>
          </w:rPr>
          <w:t>https://wiki.nazk.gov.ua/category/deklaruvannya/</w:t>
        </w:r>
      </w:hyperlink>
      <w:r w:rsidR="00747565">
        <w:rPr>
          <w:rFonts w:ascii="Times New Roman" w:hAnsi="Times New Roman"/>
          <w:sz w:val="28"/>
          <w:szCs w:val="28"/>
        </w:rPr>
        <w:t>.</w:t>
      </w:r>
      <w:bookmarkEnd w:id="1"/>
    </w:p>
    <w:p w14:paraId="4C83DECF" w14:textId="7F3F4F52" w:rsidR="00FA38F8" w:rsidRPr="00A60C75" w:rsidRDefault="00FA38F8" w:rsidP="0074756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57C8">
        <w:rPr>
          <w:rFonts w:ascii="Times New Roman" w:hAnsi="Times New Roman"/>
          <w:sz w:val="28"/>
          <w:szCs w:val="28"/>
        </w:rPr>
        <w:t>.</w:t>
      </w:r>
      <w:r w:rsidRPr="00FA38F8">
        <w:rPr>
          <w:rFonts w:ascii="Times New Roman" w:hAnsi="Times New Roman"/>
          <w:sz w:val="28"/>
          <w:szCs w:val="28"/>
        </w:rPr>
        <w:t xml:space="preserve"> Сектором забезпечено </w:t>
      </w:r>
      <w:r>
        <w:rPr>
          <w:rFonts w:ascii="Times New Roman" w:hAnsi="Times New Roman"/>
          <w:sz w:val="28"/>
          <w:szCs w:val="28"/>
        </w:rPr>
        <w:t xml:space="preserve">підключення Мукачівської міської ради до </w:t>
      </w:r>
      <w:r w:rsidRPr="00A60C75">
        <w:rPr>
          <w:rFonts w:ascii="Times New Roman" w:hAnsi="Times New Roman"/>
          <w:b/>
          <w:bCs/>
          <w:sz w:val="28"/>
          <w:szCs w:val="28"/>
        </w:rPr>
        <w:t>Є</w:t>
      </w:r>
      <w:r w:rsidR="00A60C75" w:rsidRPr="00A60C75">
        <w:rPr>
          <w:rFonts w:ascii="Times New Roman" w:hAnsi="Times New Roman"/>
          <w:b/>
          <w:bCs/>
          <w:sz w:val="28"/>
          <w:szCs w:val="28"/>
        </w:rPr>
        <w:t xml:space="preserve">диного порталу повідомлень викривачів. </w:t>
      </w:r>
    </w:p>
    <w:p w14:paraId="23BF2FFD" w14:textId="48CD40EF" w:rsidR="00FA38F8" w:rsidRDefault="00FA38F8" w:rsidP="00747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957C8">
        <w:rPr>
          <w:rFonts w:ascii="Times New Roman" w:hAnsi="Times New Roman"/>
          <w:sz w:val="28"/>
          <w:szCs w:val="28"/>
        </w:rPr>
        <w:t xml:space="preserve"> </w:t>
      </w:r>
      <w:r w:rsidRPr="00FA38F8">
        <w:rPr>
          <w:rFonts w:ascii="Times New Roman" w:hAnsi="Times New Roman"/>
          <w:sz w:val="28"/>
          <w:szCs w:val="28"/>
        </w:rPr>
        <w:t>Сектором забезпечено проведення координаційної наради під головуванням міського голови  за участю антикорупційних уповноважених, директорів КП, керівників окремих юридичних осіб  щодо забезпечення кампанії декларування 2023 та впровадження антикорупційного комплаєнсу в структурних підрозділах Мукачівської міської ради та юридичних особах, засновником яких є Мукачівська міська рада.</w:t>
      </w:r>
    </w:p>
    <w:p w14:paraId="0540F169" w14:textId="77777777" w:rsidR="00A60C75" w:rsidRDefault="00A60C75" w:rsidP="00747565">
      <w:pPr>
        <w:jc w:val="both"/>
        <w:rPr>
          <w:rFonts w:ascii="Times New Roman" w:hAnsi="Times New Roman"/>
          <w:sz w:val="28"/>
          <w:szCs w:val="28"/>
        </w:rPr>
      </w:pPr>
    </w:p>
    <w:p w14:paraId="08E5A8F6" w14:textId="373B9442" w:rsidR="00747565" w:rsidRDefault="00A60C75" w:rsidP="00747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47565">
        <w:rPr>
          <w:rFonts w:ascii="Times New Roman" w:hAnsi="Times New Roman"/>
          <w:sz w:val="28"/>
          <w:szCs w:val="28"/>
        </w:rPr>
        <w:t>.</w:t>
      </w:r>
      <w:r w:rsidR="009F6E70">
        <w:rPr>
          <w:rFonts w:ascii="Times New Roman" w:hAnsi="Times New Roman"/>
          <w:sz w:val="28"/>
          <w:szCs w:val="28"/>
        </w:rPr>
        <w:t xml:space="preserve"> </w:t>
      </w:r>
      <w:r w:rsidR="00747565">
        <w:rPr>
          <w:rFonts w:ascii="Times New Roman" w:hAnsi="Times New Roman"/>
          <w:sz w:val="28"/>
          <w:szCs w:val="28"/>
        </w:rPr>
        <w:t>Ведеться постійний та систематичний  аналіз корупційних ризиків у відповідності до затвердженого Плану антикорупційних заходів.</w:t>
      </w:r>
    </w:p>
    <w:p w14:paraId="6D8F98C4" w14:textId="4EB96124" w:rsidR="00747565" w:rsidRDefault="00A60C75" w:rsidP="007475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747565">
        <w:rPr>
          <w:rFonts w:ascii="Times New Roman" w:hAnsi="Times New Roman"/>
          <w:sz w:val="28"/>
          <w:szCs w:val="28"/>
        </w:rPr>
        <w:t>.  На постійній основі проводиться консультаційна робота щодо</w:t>
      </w:r>
      <w:r w:rsidR="00FA38F8">
        <w:rPr>
          <w:rFonts w:ascii="Times New Roman" w:hAnsi="Times New Roman"/>
          <w:sz w:val="28"/>
          <w:szCs w:val="28"/>
        </w:rPr>
        <w:t xml:space="preserve"> </w:t>
      </w:r>
      <w:r w:rsidR="00747565">
        <w:rPr>
          <w:rFonts w:ascii="Times New Roman" w:hAnsi="Times New Roman"/>
          <w:sz w:val="28"/>
          <w:szCs w:val="28"/>
        </w:rPr>
        <w:t xml:space="preserve"> розвитку інституту  викривачів   їх захисту </w:t>
      </w:r>
      <w:r w:rsidR="00747565">
        <w:rPr>
          <w:rFonts w:ascii="Times New Roman" w:eastAsia="Times New Roman" w:hAnsi="Times New Roman"/>
          <w:bCs/>
          <w:sz w:val="28"/>
          <w:szCs w:val="28"/>
          <w:lang w:eastAsia="ru-RU"/>
        </w:rPr>
        <w:t>та формування культури повідомлення про можливі факти корупційних або пов’язаних із корупцією правопорушень, інших порушень Закону України «Про запобігання корупції».</w:t>
      </w:r>
    </w:p>
    <w:p w14:paraId="38E48845" w14:textId="77777777" w:rsidR="00747565" w:rsidRDefault="00747565" w:rsidP="007475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4C9CA7" w14:textId="016E438A" w:rsidR="00747565" w:rsidRDefault="00A60C75" w:rsidP="007475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47565">
        <w:rPr>
          <w:rFonts w:ascii="Times New Roman" w:eastAsia="Times New Roman" w:hAnsi="Times New Roman"/>
          <w:sz w:val="28"/>
          <w:szCs w:val="28"/>
          <w:lang w:eastAsia="ru-RU"/>
        </w:rPr>
        <w:t>. На постійній основі здійснюється взаємодія Сектору зі спеціально уповноваженими суб’єктами у сфері протидії корупції.</w:t>
      </w:r>
    </w:p>
    <w:p w14:paraId="2C1FFEA0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781697" w14:textId="481CA623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0C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0C7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Сектором систематично здійснюється моніторинг заяв та </w:t>
      </w:r>
      <w:r>
        <w:rPr>
          <w:rFonts w:ascii="Times New Roman" w:hAnsi="Times New Roman"/>
          <w:sz w:val="28"/>
          <w:szCs w:val="28"/>
        </w:rPr>
        <w:t>звернень</w:t>
      </w:r>
      <w:r w:rsidR="00A60C75">
        <w:rPr>
          <w:rFonts w:ascii="Times New Roman" w:hAnsi="Times New Roman"/>
          <w:sz w:val="28"/>
          <w:szCs w:val="28"/>
        </w:rPr>
        <w:t xml:space="preserve"> громадян за хештегом « корупція» . </w:t>
      </w:r>
      <w:r>
        <w:rPr>
          <w:rFonts w:ascii="Times New Roman" w:hAnsi="Times New Roman"/>
          <w:sz w:val="28"/>
          <w:szCs w:val="28"/>
        </w:rPr>
        <w:t xml:space="preserve"> </w:t>
      </w:r>
      <w:r w:rsidR="00A60C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овідомлень про корупційні діяння та діяння пов'язані з корупцією </w:t>
      </w:r>
      <w:r w:rsidR="00A60C75">
        <w:rPr>
          <w:rFonts w:ascii="Times New Roman" w:hAnsi="Times New Roman"/>
          <w:sz w:val="28"/>
          <w:szCs w:val="28"/>
        </w:rPr>
        <w:t xml:space="preserve">через канали повідомлень </w:t>
      </w:r>
      <w:r>
        <w:rPr>
          <w:rFonts w:ascii="Times New Roman" w:hAnsi="Times New Roman"/>
          <w:sz w:val="28"/>
          <w:szCs w:val="28"/>
        </w:rPr>
        <w:t xml:space="preserve">щодо посадових осіб Мукачівської міської ради та її виконавчих органів не було. А також протягом  </w:t>
      </w:r>
      <w:r w:rsidR="00A60C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кварталу 202</w:t>
      </w:r>
      <w:r w:rsidR="00A60C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не було зафіксовано випадків неетичної поведінки або дискримінації щодо посадових осіб Мукачівської міської ради та її виконавчих органів.</w:t>
      </w:r>
    </w:p>
    <w:p w14:paraId="34079039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4ADBB" w14:textId="7A3AA792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0C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 постійній основі  приймається участь в конференціях, семінарах, нарадах з питань  антикорупційної діяльності  загалом та уповноваженого ОМС зокрема. </w:t>
      </w:r>
    </w:p>
    <w:p w14:paraId="7CF99C4C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E06C0" w14:textId="13107A90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0C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 постійній основі  приймається участь в засіданнях виконавчого  комітету та сесіях ММР, в роботі технічної та гуманітарної рад,  з метою запобігання виникненню конфлікту інтересів під час процедури голосування. </w:t>
      </w:r>
    </w:p>
    <w:p w14:paraId="5C85A008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593A29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18F5E9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EBC44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A967A0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F946AE" w14:textId="77777777" w:rsidR="00747565" w:rsidRDefault="00747565" w:rsidP="007475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Завідувачка сектору                                                                               Наталія КІЯН</w:t>
      </w:r>
    </w:p>
    <w:p w14:paraId="3E196E15" w14:textId="77777777" w:rsidR="00747565" w:rsidRDefault="00747565" w:rsidP="00747565">
      <w:r>
        <w:t xml:space="preserve">  </w:t>
      </w:r>
    </w:p>
    <w:p w14:paraId="70A0F28B" w14:textId="77777777" w:rsidR="00747565" w:rsidRDefault="00747565" w:rsidP="00747565"/>
    <w:p w14:paraId="66556229" w14:textId="77777777" w:rsidR="004660B2" w:rsidRDefault="004660B2"/>
    <w:sectPr w:rsidR="004660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71"/>
    <w:rsid w:val="004660B2"/>
    <w:rsid w:val="006B43BD"/>
    <w:rsid w:val="00747565"/>
    <w:rsid w:val="008957C8"/>
    <w:rsid w:val="009F6E70"/>
    <w:rsid w:val="00A24371"/>
    <w:rsid w:val="00A60C75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8846"/>
  <w15:chartTrackingRefBased/>
  <w15:docId w15:val="{6CBDDD8C-3CAE-4EE8-A3C6-2F5C574E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56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565"/>
    <w:rPr>
      <w:color w:val="0000FF"/>
      <w:u w:val="single"/>
    </w:rPr>
  </w:style>
  <w:style w:type="paragraph" w:customStyle="1" w:styleId="general-text">
    <w:name w:val="general-text"/>
    <w:basedOn w:val="a"/>
    <w:rsid w:val="0074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Unresolved Mention"/>
    <w:basedOn w:val="a0"/>
    <w:uiPriority w:val="99"/>
    <w:semiHidden/>
    <w:unhideWhenUsed/>
    <w:rsid w:val="00895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nazk.gov.ua/category/deklaruvannya/" TargetMode="External"/><Relationship Id="rId5" Type="http://schemas.openxmlformats.org/officeDocument/2006/relationships/hyperlink" Target="mailto:mvk@mukachevo-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cp:keywords/>
  <dc:description/>
  <cp:lastModifiedBy>Kiyan-Nataliya</cp:lastModifiedBy>
  <cp:revision>7</cp:revision>
  <cp:lastPrinted>2024-04-12T11:22:00Z</cp:lastPrinted>
  <dcterms:created xsi:type="dcterms:W3CDTF">2024-04-12T10:44:00Z</dcterms:created>
  <dcterms:modified xsi:type="dcterms:W3CDTF">2024-04-12T11:36:00Z</dcterms:modified>
</cp:coreProperties>
</file>